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362FA" w14:textId="77777777" w:rsidR="009C76EF" w:rsidRDefault="00687ADF" w:rsidP="009C76EF">
      <w:pPr>
        <w:spacing w:line="360" w:lineRule="auto"/>
        <w:jc w:val="right"/>
        <w:rPr>
          <w:b/>
          <w:bCs/>
          <w:sz w:val="22"/>
          <w:szCs w:val="22"/>
        </w:rPr>
      </w:pP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</w:p>
    <w:p w14:paraId="35AADA43" w14:textId="338114F1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495CC5">
        <w:rPr>
          <w:rFonts w:ascii="Century Gothic" w:hAnsi="Century Gothic"/>
          <w:color w:val="000000"/>
          <w:sz w:val="20"/>
        </w:rPr>
        <w:t>11 lutego 2021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64C9A9BF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AD4FFC">
        <w:rPr>
          <w:rFonts w:ascii="Century Gothic" w:hAnsi="Century Gothic"/>
          <w:sz w:val="20"/>
          <w:szCs w:val="20"/>
        </w:rPr>
        <w:t>1</w:t>
      </w:r>
      <w:r w:rsidR="00495CC5">
        <w:rPr>
          <w:rFonts w:ascii="Century Gothic" w:hAnsi="Century Gothic"/>
          <w:sz w:val="20"/>
          <w:szCs w:val="20"/>
        </w:rPr>
        <w:t>0</w:t>
      </w:r>
      <w:r w:rsidRPr="000A4219">
        <w:rPr>
          <w:rFonts w:ascii="Century Gothic" w:hAnsi="Century Gothic"/>
          <w:sz w:val="20"/>
          <w:szCs w:val="20"/>
        </w:rPr>
        <w:t>.2020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46CF2EB1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 xml:space="preserve">ustawy z dnia 14 czerwca 1960 r. kodeks postępowania administracyjnego /Dz. U. 2020 r., poz. 256 ze zm./, w związku z art. 74 ust. 3 ustawy z dnia 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z 20</w:t>
      </w:r>
      <w:r w:rsidR="00A212E0">
        <w:rPr>
          <w:rFonts w:ascii="Century Gothic" w:hAnsi="Century Gothic"/>
          <w:sz w:val="20"/>
          <w:szCs w:val="20"/>
        </w:rPr>
        <w:t>21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212E0">
        <w:rPr>
          <w:rFonts w:ascii="Century Gothic" w:hAnsi="Century Gothic"/>
          <w:sz w:val="20"/>
          <w:szCs w:val="20"/>
        </w:rPr>
        <w:t>247</w:t>
      </w:r>
      <w:r w:rsidRPr="000A4219">
        <w:rPr>
          <w:rFonts w:ascii="Century Gothic" w:hAnsi="Century Gothic"/>
          <w:sz w:val="20"/>
          <w:szCs w:val="20"/>
        </w:rPr>
        <w:t xml:space="preserve">/ oraz prowadzonym postępowaniem z wniosku </w:t>
      </w:r>
      <w:r w:rsidR="00A212E0" w:rsidRPr="00F11E14">
        <w:rPr>
          <w:rFonts w:ascii="Century Gothic" w:hAnsi="Century Gothic"/>
          <w:b/>
          <w:sz w:val="20"/>
          <w:szCs w:val="20"/>
        </w:rPr>
        <w:t xml:space="preserve">Inwestora PVE 110 Sp. </w:t>
      </w:r>
      <w:r w:rsidR="00A212E0">
        <w:rPr>
          <w:rFonts w:ascii="Century Gothic" w:hAnsi="Century Gothic"/>
          <w:b/>
          <w:sz w:val="20"/>
          <w:szCs w:val="20"/>
        </w:rPr>
        <w:br/>
      </w:r>
      <w:r w:rsidR="00A212E0" w:rsidRPr="00F11E14">
        <w:rPr>
          <w:rFonts w:ascii="Century Gothic" w:hAnsi="Century Gothic"/>
          <w:b/>
          <w:sz w:val="20"/>
          <w:szCs w:val="20"/>
        </w:rPr>
        <w:t>z o.o., ul. J.J. Śniadeckich 21, 85-011 Bydgoszcz (adres do korespondencji Lisi Ogon, ul. Twarda 5, 86-065 Łochowo)</w:t>
      </w:r>
      <w:r w:rsidR="00AD4FFC" w:rsidRPr="00AD4FFC">
        <w:rPr>
          <w:rFonts w:ascii="Century Gothic" w:hAnsi="Century Gothic"/>
          <w:b/>
          <w:sz w:val="20"/>
          <w:szCs w:val="20"/>
        </w:rPr>
        <w:t xml:space="preserve"> </w:t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384BF5" w:rsidRPr="00384BF5">
        <w:t xml:space="preserve"> </w:t>
      </w:r>
      <w:r w:rsidR="00A212E0" w:rsidRPr="00F11E14">
        <w:rPr>
          <w:rFonts w:ascii="Century Gothic" w:hAnsi="Century Gothic"/>
          <w:b/>
          <w:bCs/>
          <w:sz w:val="20"/>
          <w:szCs w:val="20"/>
        </w:rPr>
        <w:t>na budowie elektrowni fotowoltaicznej o mocy do 8 MW wraz z niezbędną infrastrukturą techniczną w miejscowości Osiniec, Gmina Gniezno, działka nr 26</w:t>
      </w:r>
      <w:r w:rsidR="00A212E0"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C98818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1AF0B3D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5ADCCB6" w14:textId="77777777" w:rsidR="00495CC5" w:rsidRDefault="00495CC5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374B0FE6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92DEE67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7E7DEB" w14:textId="77777777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546EBCBA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495CC5" w:rsidRPr="00495CC5">
        <w:rPr>
          <w:rFonts w:ascii="Century Gothic" w:hAnsi="Century Gothic"/>
          <w:b/>
          <w:sz w:val="16"/>
          <w:szCs w:val="16"/>
        </w:rPr>
        <w:t>12 lutego</w:t>
      </w:r>
      <w:r w:rsidRPr="00495CC5">
        <w:rPr>
          <w:rFonts w:ascii="Century Gothic" w:hAnsi="Century Gothic"/>
          <w:b/>
          <w:sz w:val="16"/>
          <w:szCs w:val="16"/>
        </w:rPr>
        <w:t xml:space="preserve"> 202</w:t>
      </w:r>
      <w:r w:rsidR="00495CC5" w:rsidRPr="00495CC5">
        <w:rPr>
          <w:rFonts w:ascii="Century Gothic" w:hAnsi="Century Gothic"/>
          <w:b/>
          <w:sz w:val="16"/>
          <w:szCs w:val="16"/>
        </w:rPr>
        <w:t>1</w:t>
      </w:r>
      <w:r w:rsidRPr="00495CC5">
        <w:rPr>
          <w:rFonts w:ascii="Century Gothic" w:hAnsi="Century Gothic"/>
          <w:b/>
          <w:sz w:val="16"/>
          <w:szCs w:val="16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D6A5D8" w14:textId="5A00D4DB" w:rsidR="00687ADF" w:rsidRDefault="000A4219" w:rsidP="00687ADF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p w14:paraId="7D522752" w14:textId="77777777" w:rsidR="00B43400" w:rsidRDefault="00B43400" w:rsidP="00F755C9">
      <w:pPr>
        <w:shd w:val="clear" w:color="auto" w:fill="FFFFFF"/>
        <w:spacing w:line="278" w:lineRule="exact"/>
        <w:rPr>
          <w:b/>
        </w:rPr>
      </w:pPr>
    </w:p>
    <w:sectPr w:rsidR="00B43400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3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23"/>
  </w:num>
  <w:num w:numId="5">
    <w:abstractNumId w:val="17"/>
  </w:num>
  <w:num w:numId="6">
    <w:abstractNumId w:val="14"/>
  </w:num>
  <w:num w:numId="7">
    <w:abstractNumId w:val="20"/>
  </w:num>
  <w:num w:numId="8">
    <w:abstractNumId w:val="4"/>
  </w:num>
  <w:num w:numId="9">
    <w:abstractNumId w:val="21"/>
  </w:num>
  <w:num w:numId="10">
    <w:abstractNumId w:val="12"/>
  </w:num>
  <w:num w:numId="11">
    <w:abstractNumId w:val="18"/>
  </w:num>
  <w:num w:numId="12">
    <w:abstractNumId w:val="0"/>
  </w:num>
  <w:num w:numId="13">
    <w:abstractNumId w:val="13"/>
  </w:num>
  <w:num w:numId="14">
    <w:abstractNumId w:val="11"/>
  </w:num>
  <w:num w:numId="15">
    <w:abstractNumId w:val="22"/>
  </w:num>
  <w:num w:numId="16">
    <w:abstractNumId w:val="6"/>
  </w:num>
  <w:num w:numId="17">
    <w:abstractNumId w:val="9"/>
  </w:num>
  <w:num w:numId="18">
    <w:abstractNumId w:val="16"/>
  </w:num>
  <w:num w:numId="19">
    <w:abstractNumId w:val="15"/>
  </w:num>
  <w:num w:numId="20">
    <w:abstractNumId w:val="7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14B6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A054D6"/>
    <w:rsid w:val="00A1439B"/>
    <w:rsid w:val="00A17E5D"/>
    <w:rsid w:val="00A20EC0"/>
    <w:rsid w:val="00A212E0"/>
    <w:rsid w:val="00A2210C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4A52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755C9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7205-5658-45E5-8933-5FEB178F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Magdalena Buchwald</cp:lastModifiedBy>
  <cp:revision>3</cp:revision>
  <cp:lastPrinted>2021-02-11T09:58:00Z</cp:lastPrinted>
  <dcterms:created xsi:type="dcterms:W3CDTF">2021-02-12T12:36:00Z</dcterms:created>
  <dcterms:modified xsi:type="dcterms:W3CDTF">2021-02-12T12:36:00Z</dcterms:modified>
</cp:coreProperties>
</file>