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48ABA" w14:textId="77777777" w:rsidR="002B0533" w:rsidRDefault="002B0533" w:rsidP="002B0533">
      <w:pPr>
        <w:keepNext/>
        <w:keepLines/>
        <w:spacing w:before="40" w:line="276" w:lineRule="auto"/>
        <w:jc w:val="right"/>
        <w:outlineLvl w:val="4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Gniezno, dnia 10 lipca 2025 r.</w:t>
      </w:r>
    </w:p>
    <w:p w14:paraId="4F6AEB25" w14:textId="77777777" w:rsidR="002B0533" w:rsidRDefault="002B0533" w:rsidP="002B0533">
      <w:pPr>
        <w:keepNext/>
        <w:keepLines/>
        <w:spacing w:before="40" w:line="276" w:lineRule="auto"/>
        <w:outlineLvl w:val="5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OŚR. 6220.8.2025</w:t>
      </w:r>
    </w:p>
    <w:p w14:paraId="53CBC1BB" w14:textId="77777777" w:rsidR="002B0533" w:rsidRDefault="002B0533" w:rsidP="002B0533">
      <w:pPr>
        <w:tabs>
          <w:tab w:val="left" w:pos="426"/>
        </w:tabs>
        <w:spacing w:after="160" w:line="276" w:lineRule="auto"/>
        <w:jc w:val="center"/>
        <w:rPr>
          <w:rFonts w:ascii="Century Gothic" w:hAnsi="Century Gothic"/>
          <w:b/>
          <w:sz w:val="21"/>
          <w:szCs w:val="21"/>
          <w:u w:val="single"/>
          <w:lang w:eastAsia="en-US"/>
        </w:rPr>
      </w:pPr>
      <w:r>
        <w:rPr>
          <w:rFonts w:ascii="Century Gothic" w:hAnsi="Century Gothic"/>
          <w:b/>
          <w:sz w:val="21"/>
          <w:szCs w:val="21"/>
          <w:u w:val="single"/>
          <w:lang w:eastAsia="en-US"/>
        </w:rPr>
        <w:t>OBWIESZCZENIE</w:t>
      </w:r>
    </w:p>
    <w:p w14:paraId="4AD4143A" w14:textId="77777777" w:rsidR="002B0533" w:rsidRDefault="002B0533" w:rsidP="002B0533">
      <w:pPr>
        <w:spacing w:line="276" w:lineRule="auto"/>
        <w:jc w:val="both"/>
        <w:rPr>
          <w:rFonts w:ascii="Century Gothic" w:hAnsi="Century Gothic" w:cs="Calibri"/>
          <w:b/>
          <w:bCs/>
          <w:sz w:val="21"/>
          <w:szCs w:val="21"/>
          <w:lang w:eastAsia="en-US"/>
        </w:rPr>
      </w:pPr>
      <w:r>
        <w:rPr>
          <w:rFonts w:ascii="Century Gothic" w:hAnsi="Century Gothic" w:cs="Calibri"/>
          <w:sz w:val="21"/>
          <w:szCs w:val="21"/>
          <w:lang w:eastAsia="en-US"/>
        </w:rPr>
        <w:t xml:space="preserve">Na podstawie art. 49 ustawy z dnia 14 czerwca 1960 r. </w:t>
      </w:r>
      <w:r>
        <w:rPr>
          <w:rFonts w:ascii="Century Gothic" w:hAnsi="Century Gothic" w:cs="Calibri"/>
          <w:i/>
          <w:sz w:val="21"/>
          <w:szCs w:val="21"/>
          <w:lang w:eastAsia="en-US"/>
        </w:rPr>
        <w:t xml:space="preserve">kodeks postępowania administracyjnego </w:t>
      </w:r>
      <w:r>
        <w:rPr>
          <w:rFonts w:ascii="Century Gothic" w:hAnsi="Century Gothic" w:cs="Calibri"/>
          <w:sz w:val="21"/>
          <w:szCs w:val="21"/>
          <w:lang w:eastAsia="en-US"/>
        </w:rPr>
        <w:t xml:space="preserve">/Dz. U. 2024 r., poz. 572/, w związku z art. 74 ust. 3 ustawy </w:t>
      </w:r>
      <w:r>
        <w:rPr>
          <w:rFonts w:ascii="Century Gothic" w:hAnsi="Century Gothic" w:cs="Calibri"/>
          <w:sz w:val="21"/>
          <w:szCs w:val="21"/>
          <w:lang w:eastAsia="en-US"/>
        </w:rPr>
        <w:br/>
        <w:t xml:space="preserve">z dnia 3 października </w:t>
      </w:r>
      <w:r>
        <w:rPr>
          <w:rFonts w:ascii="Century Gothic" w:hAnsi="Century Gothic" w:cs="Calibri"/>
          <w:bCs/>
          <w:sz w:val="21"/>
          <w:szCs w:val="21"/>
          <w:lang w:eastAsia="en-US"/>
        </w:rPr>
        <w:t xml:space="preserve">2008 r. </w:t>
      </w:r>
      <w:r>
        <w:rPr>
          <w:rFonts w:ascii="Century Gothic" w:hAnsi="Century Gothic" w:cs="Calibri"/>
          <w:bCs/>
          <w:i/>
          <w:sz w:val="21"/>
          <w:szCs w:val="21"/>
          <w:lang w:eastAsia="en-US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 w:cs="Calibri"/>
          <w:bCs/>
          <w:sz w:val="21"/>
          <w:szCs w:val="21"/>
          <w:lang w:eastAsia="en-US"/>
        </w:rPr>
        <w:t xml:space="preserve"> </w:t>
      </w:r>
      <w:r>
        <w:rPr>
          <w:rFonts w:ascii="Century Gothic" w:hAnsi="Century Gothic" w:cs="Calibri"/>
          <w:sz w:val="21"/>
          <w:szCs w:val="21"/>
          <w:lang w:eastAsia="en-US"/>
        </w:rPr>
        <w:t xml:space="preserve">/Dz. U. z 2024 r., poz. 1112/ </w:t>
      </w:r>
      <w:r>
        <w:rPr>
          <w:rFonts w:ascii="Century Gothic" w:hAnsi="Century Gothic" w:cs="Calibri"/>
          <w:b/>
          <w:sz w:val="21"/>
          <w:szCs w:val="21"/>
          <w:lang w:eastAsia="en-US"/>
        </w:rPr>
        <w:t xml:space="preserve">Wójt Gminy Gniezno </w:t>
      </w:r>
      <w:r>
        <w:rPr>
          <w:rFonts w:ascii="Century Gothic" w:hAnsi="Century Gothic" w:cs="Calibri"/>
          <w:bCs/>
          <w:sz w:val="21"/>
          <w:szCs w:val="21"/>
          <w:lang w:eastAsia="en-US"/>
        </w:rPr>
        <w:t>zawiadamia</w:t>
      </w:r>
      <w:r>
        <w:rPr>
          <w:rFonts w:ascii="Century Gothic" w:hAnsi="Century Gothic" w:cs="Calibri"/>
          <w:b/>
          <w:bCs/>
          <w:sz w:val="21"/>
          <w:szCs w:val="21"/>
          <w:lang w:eastAsia="en-US"/>
        </w:rPr>
        <w:t xml:space="preserve"> </w:t>
      </w:r>
      <w:r>
        <w:rPr>
          <w:rFonts w:ascii="Century Gothic" w:hAnsi="Century Gothic" w:cs="Calibri"/>
          <w:bCs/>
          <w:sz w:val="21"/>
          <w:szCs w:val="21"/>
          <w:lang w:eastAsia="en-US"/>
        </w:rPr>
        <w:t>strony postępowania administracyjnego o wydanej</w:t>
      </w:r>
      <w:r>
        <w:rPr>
          <w:rFonts w:ascii="Century Gothic" w:hAnsi="Century Gothic" w:cs="Calibri"/>
          <w:sz w:val="21"/>
          <w:szCs w:val="21"/>
          <w:lang w:eastAsia="en-US"/>
        </w:rPr>
        <w:t xml:space="preserve"> dnia 10 lipca 2025 r. decyzji </w:t>
      </w:r>
      <w:r>
        <w:rPr>
          <w:rFonts w:ascii="Century Gothic" w:hAnsi="Century Gothic" w:cs="Calibri"/>
          <w:sz w:val="21"/>
          <w:szCs w:val="21"/>
          <w:lang w:eastAsia="en-US"/>
        </w:rPr>
        <w:br/>
        <w:t>o umorzeniu w całości postępowania administracyjnego w sprawie wydania decyzji o środowiskowych uwarunkowaniach</w:t>
      </w:r>
      <w:r>
        <w:rPr>
          <w:rFonts w:ascii="Century Gothic" w:hAnsi="Century Gothic" w:cs="Calibri"/>
          <w:b/>
          <w:sz w:val="21"/>
          <w:szCs w:val="21"/>
          <w:lang w:eastAsia="en-US"/>
        </w:rPr>
        <w:t xml:space="preserve"> </w:t>
      </w:r>
      <w:r>
        <w:rPr>
          <w:rFonts w:ascii="Century Gothic" w:hAnsi="Century Gothic" w:cs="Calibri"/>
          <w:sz w:val="21"/>
          <w:szCs w:val="21"/>
          <w:lang w:eastAsia="en-US"/>
        </w:rPr>
        <w:t>dla przedsięwzięcia polegającego na</w:t>
      </w:r>
      <w:bookmarkStart w:id="0" w:name="_Hlk75772086"/>
      <w:r>
        <w:rPr>
          <w:rFonts w:ascii="Century Gothic" w:eastAsiaTheme="minorHAnsi" w:hAnsi="Century Gothic" w:cstheme="minorBidi"/>
          <w:b/>
          <w:sz w:val="21"/>
          <w:szCs w:val="21"/>
          <w:lang w:eastAsia="en-US"/>
        </w:rPr>
        <w:t xml:space="preserve"> </w:t>
      </w:r>
      <w:r>
        <w:rPr>
          <w:rFonts w:ascii="Century Gothic" w:hAnsi="Century Gothic"/>
          <w:b/>
          <w:sz w:val="21"/>
          <w:szCs w:val="21"/>
        </w:rPr>
        <w:t>budowie 4 budynków mieszkalnych w miejscowości Lubochnia, Gmina Gniezno, działka nr 145</w:t>
      </w:r>
      <w:r>
        <w:rPr>
          <w:rFonts w:ascii="Century Gothic" w:hAnsi="Century Gothic" w:cs="Calibri"/>
          <w:sz w:val="21"/>
          <w:szCs w:val="21"/>
          <w:lang w:eastAsia="en-US"/>
        </w:rPr>
        <w:t>,</w:t>
      </w:r>
      <w:r>
        <w:rPr>
          <w:rFonts w:ascii="Century Gothic" w:hAnsi="Century Gothic" w:cs="Calibri"/>
          <w:b/>
          <w:sz w:val="21"/>
          <w:szCs w:val="21"/>
          <w:lang w:eastAsia="en-US"/>
        </w:rPr>
        <w:t xml:space="preserve"> </w:t>
      </w:r>
      <w:bookmarkEnd w:id="0"/>
      <w:r>
        <w:rPr>
          <w:rFonts w:ascii="Century Gothic" w:hAnsi="Century Gothic" w:cs="Calibri"/>
          <w:bCs/>
          <w:sz w:val="21"/>
          <w:szCs w:val="21"/>
          <w:lang w:eastAsia="en-US"/>
        </w:rPr>
        <w:t>której treść podaje poniżej.</w:t>
      </w:r>
      <w:r>
        <w:rPr>
          <w:rFonts w:ascii="Century Gothic" w:hAnsi="Century Gothic" w:cs="Calibri"/>
          <w:b/>
          <w:bCs/>
          <w:sz w:val="21"/>
          <w:szCs w:val="21"/>
          <w:lang w:eastAsia="en-US"/>
        </w:rPr>
        <w:t xml:space="preserve"> </w:t>
      </w:r>
    </w:p>
    <w:p w14:paraId="4518C11F" w14:textId="77777777" w:rsidR="002B0533" w:rsidRDefault="002B0533" w:rsidP="002B0533">
      <w:pPr>
        <w:spacing w:line="276" w:lineRule="auto"/>
        <w:jc w:val="both"/>
        <w:rPr>
          <w:rFonts w:ascii="Century Gothic" w:hAnsi="Century Gothic"/>
          <w:b/>
          <w:bCs/>
          <w:sz w:val="21"/>
          <w:szCs w:val="21"/>
          <w:lang w:eastAsia="en-US"/>
        </w:rPr>
      </w:pPr>
    </w:p>
    <w:p w14:paraId="61B5AA1C" w14:textId="77777777" w:rsidR="002B0533" w:rsidRDefault="002B0533" w:rsidP="002B0533">
      <w:pPr>
        <w:spacing w:after="120" w:line="276" w:lineRule="auto"/>
        <w:ind w:left="283"/>
        <w:jc w:val="both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  <w:u w:val="single"/>
        </w:rPr>
        <w:t>Uwaga</w:t>
      </w:r>
      <w:r>
        <w:rPr>
          <w:rFonts w:ascii="Century Gothic" w:hAnsi="Century Gothic"/>
          <w:b/>
          <w:sz w:val="16"/>
          <w:szCs w:val="16"/>
        </w:rPr>
        <w:t>:</w:t>
      </w:r>
    </w:p>
    <w:p w14:paraId="114BEAF0" w14:textId="77777777" w:rsidR="002B0533" w:rsidRDefault="002B0533" w:rsidP="002B0533">
      <w:pPr>
        <w:spacing w:after="120" w:line="276" w:lineRule="auto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ab/>
        <w:t xml:space="preserve">Ponieważ w powyższej sprawie liczba stron postępowania przekracza 10, zgodnie z art. 74 ust. 3 ustawy z dnia 3 października 2008 roku o udostępnianiu informacji o środowisku i jego ochronie, udziale społeczeństwa w ochronie środowiska oraz o ocenach oddziaływania na środowisko oraz art. 49 Kodeksu postępowania administracyjnego – zawiadomienie stron o wydanej decyzji zostaje podane w formie obwieszczenia. Doręczenie uważa się za dokonane po upływie czternastu dni od dnia publicznego ogłoszenia. Publiczne udostępnienie następuje z dniem </w:t>
      </w:r>
      <w:r>
        <w:rPr>
          <w:rFonts w:ascii="Century Gothic" w:hAnsi="Century Gothic"/>
          <w:b/>
          <w:bCs/>
          <w:sz w:val="16"/>
          <w:szCs w:val="16"/>
        </w:rPr>
        <w:t>11 lipca 2025 roku</w:t>
      </w:r>
      <w:r>
        <w:rPr>
          <w:rFonts w:ascii="Century Gothic" w:hAnsi="Century Gothic"/>
          <w:sz w:val="16"/>
          <w:szCs w:val="16"/>
        </w:rPr>
        <w:t>.</w:t>
      </w:r>
    </w:p>
    <w:p w14:paraId="2880A8D8" w14:textId="77777777" w:rsidR="002B0533" w:rsidRDefault="002B0533" w:rsidP="002B0533">
      <w:pPr>
        <w:tabs>
          <w:tab w:val="left" w:pos="720"/>
          <w:tab w:val="left" w:pos="1080"/>
          <w:tab w:val="left" w:pos="1260"/>
          <w:tab w:val="left" w:pos="2340"/>
        </w:tabs>
        <w:spacing w:line="276" w:lineRule="auto"/>
        <w:rPr>
          <w:rFonts w:ascii="Century Gothic" w:hAnsi="Century Gothic"/>
          <w:sz w:val="21"/>
          <w:szCs w:val="21"/>
        </w:rPr>
      </w:pPr>
    </w:p>
    <w:p w14:paraId="6ADA2E06" w14:textId="77777777" w:rsidR="002B0533" w:rsidRDefault="002B0533" w:rsidP="002B0533">
      <w:pPr>
        <w:tabs>
          <w:tab w:val="left" w:pos="720"/>
          <w:tab w:val="left" w:pos="1080"/>
          <w:tab w:val="left" w:pos="1260"/>
          <w:tab w:val="left" w:pos="2340"/>
        </w:tabs>
        <w:spacing w:line="276" w:lineRule="auto"/>
        <w:jc w:val="right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Gniezno, dnia 10 lipca 2025 r.</w:t>
      </w:r>
    </w:p>
    <w:p w14:paraId="4F2487ED" w14:textId="77777777" w:rsidR="002B0533" w:rsidRDefault="002B0533" w:rsidP="002B0533">
      <w:pPr>
        <w:keepNext/>
        <w:keepLines/>
        <w:spacing w:before="40" w:line="276" w:lineRule="auto"/>
        <w:outlineLvl w:val="5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>OŚR. 6220.8.2025</w:t>
      </w:r>
    </w:p>
    <w:p w14:paraId="477F70BB" w14:textId="77777777" w:rsidR="002B0533" w:rsidRDefault="002B0533" w:rsidP="002B0533">
      <w:pPr>
        <w:keepNext/>
        <w:spacing w:line="276" w:lineRule="auto"/>
        <w:jc w:val="center"/>
        <w:outlineLvl w:val="0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Decyzja</w:t>
      </w:r>
    </w:p>
    <w:p w14:paraId="7F148368" w14:textId="77777777" w:rsidR="002B0533" w:rsidRDefault="002B0533" w:rsidP="002B0533">
      <w:pPr>
        <w:spacing w:line="276" w:lineRule="auto"/>
        <w:jc w:val="center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o umorzeniu postępowania</w:t>
      </w:r>
    </w:p>
    <w:p w14:paraId="510225F1" w14:textId="77777777" w:rsidR="002B0533" w:rsidRDefault="002B0533" w:rsidP="002B0533">
      <w:pPr>
        <w:spacing w:line="276" w:lineRule="auto"/>
        <w:jc w:val="both"/>
        <w:rPr>
          <w:rFonts w:ascii="Century Gothic" w:hAnsi="Century Gothic"/>
          <w:sz w:val="21"/>
          <w:szCs w:val="21"/>
        </w:rPr>
      </w:pPr>
    </w:p>
    <w:p w14:paraId="5A765D73" w14:textId="44001751" w:rsidR="002B0533" w:rsidRDefault="002B0533" w:rsidP="002B0533">
      <w:pPr>
        <w:spacing w:line="276" w:lineRule="auto"/>
        <w:jc w:val="both"/>
        <w:rPr>
          <w:rFonts w:ascii="Century Gothic" w:hAnsi="Century Gothic"/>
          <w:b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ab/>
      </w:r>
      <w:r>
        <w:rPr>
          <w:rFonts w:ascii="Century Gothic" w:hAnsi="Century Gothic" w:cs="Calibri"/>
          <w:sz w:val="21"/>
          <w:szCs w:val="21"/>
        </w:rPr>
        <w:t xml:space="preserve">Na podstawie art. </w:t>
      </w:r>
      <w:r>
        <w:rPr>
          <w:rFonts w:ascii="Century Gothic" w:hAnsi="Century Gothic"/>
          <w:bCs/>
          <w:sz w:val="21"/>
          <w:szCs w:val="21"/>
        </w:rPr>
        <w:t>105 § 1</w:t>
      </w:r>
      <w:r>
        <w:rPr>
          <w:rFonts w:ascii="Century Gothic" w:hAnsi="Century Gothic"/>
          <w:b/>
          <w:sz w:val="21"/>
          <w:szCs w:val="21"/>
        </w:rPr>
        <w:t xml:space="preserve"> </w:t>
      </w:r>
      <w:r>
        <w:rPr>
          <w:rFonts w:ascii="Century Gothic" w:hAnsi="Century Gothic" w:cs="Calibri"/>
          <w:sz w:val="21"/>
          <w:szCs w:val="21"/>
        </w:rPr>
        <w:t xml:space="preserve"> ustawy z dnia 14 czerwca 1960 r. </w:t>
      </w:r>
      <w:r>
        <w:rPr>
          <w:rFonts w:ascii="Century Gothic" w:hAnsi="Century Gothic" w:cs="Calibri"/>
          <w:i/>
          <w:sz w:val="21"/>
          <w:szCs w:val="21"/>
        </w:rPr>
        <w:t xml:space="preserve">kodeks postępowania administracyjnego </w:t>
      </w:r>
      <w:r>
        <w:rPr>
          <w:rFonts w:ascii="Century Gothic" w:hAnsi="Century Gothic" w:cs="Calibri"/>
          <w:sz w:val="21"/>
          <w:szCs w:val="21"/>
        </w:rPr>
        <w:t>/Dz. U. z 2024 r., poz. 572/</w:t>
      </w:r>
      <w:r>
        <w:rPr>
          <w:rFonts w:ascii="Century Gothic" w:hAnsi="Century Gothic"/>
          <w:sz w:val="21"/>
          <w:szCs w:val="21"/>
        </w:rPr>
        <w:t xml:space="preserve"> oraz w związku z rozporządzeniem Rady Ministrów z dnia 10 września 2019 r.</w:t>
      </w:r>
      <w:r>
        <w:rPr>
          <w:rFonts w:ascii="Century Gothic" w:hAnsi="Century Gothic"/>
          <w:i/>
          <w:sz w:val="21"/>
          <w:szCs w:val="21"/>
        </w:rPr>
        <w:t xml:space="preserve"> w sprawie przedsięwzięć mogących znacząco oddziaływać na środowisko (t. j. Dz. U. z 2019 r., poz. 1839)</w:t>
      </w:r>
      <w:r>
        <w:rPr>
          <w:rFonts w:ascii="Century Gothic" w:hAnsi="Century Gothic" w:cs="Calibri"/>
          <w:sz w:val="21"/>
          <w:szCs w:val="21"/>
        </w:rPr>
        <w:t>, po rozpatrzeniu wniosku</w:t>
      </w:r>
      <w:r>
        <w:rPr>
          <w:rFonts w:ascii="Century Gothic" w:hAnsi="Century Gothic"/>
          <w:sz w:val="21"/>
          <w:szCs w:val="21"/>
          <w:lang w:eastAsia="en-US"/>
        </w:rPr>
        <w:t xml:space="preserve"> Inwestora </w:t>
      </w:r>
      <w:r>
        <w:rPr>
          <w:rFonts w:ascii="Century Gothic" w:hAnsi="Century Gothic"/>
          <w:b/>
          <w:sz w:val="21"/>
          <w:szCs w:val="21"/>
        </w:rPr>
        <w:t>Pani Beaty</w:t>
      </w:r>
      <w:r>
        <w:rPr>
          <w:rFonts w:ascii="Century Gothic" w:hAnsi="Century Gothic"/>
          <w:b/>
          <w:sz w:val="21"/>
          <w:szCs w:val="21"/>
        </w:rPr>
        <w:t xml:space="preserve"> G.</w:t>
      </w:r>
      <w:r>
        <w:rPr>
          <w:rFonts w:ascii="Century Gothic" w:hAnsi="Century Gothic"/>
          <w:b/>
          <w:sz w:val="21"/>
          <w:szCs w:val="21"/>
        </w:rPr>
        <w:t xml:space="preserve"> reprezentowanej przez Pełnomocnika Panią Annę Tritt Doradztwo Ekologiczne LADYBIRD, ul. Ogrodowa 1a, 62-241 Żydowo</w:t>
      </w:r>
      <w:r>
        <w:rPr>
          <w:rFonts w:ascii="Century Gothic" w:hAnsi="Century Gothic"/>
          <w:bCs/>
          <w:sz w:val="21"/>
          <w:szCs w:val="21"/>
        </w:rPr>
        <w:t xml:space="preserve"> </w:t>
      </w:r>
      <w:r>
        <w:rPr>
          <w:rFonts w:ascii="Century Gothic" w:hAnsi="Century Gothic" w:cs="Calibri"/>
          <w:sz w:val="21"/>
          <w:szCs w:val="21"/>
        </w:rPr>
        <w:t xml:space="preserve">w sprawie wydania decyzji o środowiskowych uwarunkowaniach dla przedsięwzięcia polegającego na </w:t>
      </w:r>
      <w:r>
        <w:rPr>
          <w:rFonts w:ascii="Century Gothic" w:hAnsi="Century Gothic"/>
          <w:b/>
          <w:sz w:val="21"/>
          <w:szCs w:val="21"/>
        </w:rPr>
        <w:t>budowie 4 budynków mieszkalnych w miejscowości Lubochnia, Gmina Gniezno, działka nr 145.</w:t>
      </w:r>
    </w:p>
    <w:p w14:paraId="09EBE8E3" w14:textId="77777777" w:rsidR="002B0533" w:rsidRDefault="002B0533" w:rsidP="002B0533">
      <w:pPr>
        <w:spacing w:line="276" w:lineRule="auto"/>
        <w:jc w:val="center"/>
        <w:rPr>
          <w:rFonts w:ascii="Century Gothic" w:hAnsi="Century Gothic"/>
          <w:sz w:val="21"/>
          <w:szCs w:val="21"/>
          <w:lang w:eastAsia="en-US"/>
        </w:rPr>
      </w:pPr>
    </w:p>
    <w:p w14:paraId="3A51F35A" w14:textId="77777777" w:rsidR="002B0533" w:rsidRDefault="002B0533" w:rsidP="002B0533">
      <w:pPr>
        <w:spacing w:line="276" w:lineRule="auto"/>
        <w:jc w:val="center"/>
        <w:rPr>
          <w:rFonts w:ascii="Century Gothic" w:hAnsi="Century Gothic" w:cs="Calibri"/>
          <w:b/>
          <w:sz w:val="22"/>
          <w:szCs w:val="22"/>
        </w:rPr>
      </w:pPr>
      <w:r>
        <w:rPr>
          <w:rFonts w:ascii="Century Gothic" w:hAnsi="Century Gothic" w:cs="Calibri"/>
          <w:b/>
          <w:sz w:val="22"/>
          <w:szCs w:val="22"/>
        </w:rPr>
        <w:t>Orzekam</w:t>
      </w:r>
    </w:p>
    <w:p w14:paraId="74F1A7F2" w14:textId="77777777" w:rsidR="002B0533" w:rsidRDefault="002B0533" w:rsidP="002B0533">
      <w:pPr>
        <w:pStyle w:val="Nagwek3"/>
        <w:spacing w:after="0" w:line="276" w:lineRule="auto"/>
        <w:jc w:val="both"/>
        <w:rPr>
          <w:rFonts w:ascii="Century Gothic" w:hAnsi="Century Gothic"/>
          <w:bCs/>
          <w:i/>
          <w:iCs/>
          <w:color w:val="auto"/>
          <w:sz w:val="21"/>
          <w:szCs w:val="21"/>
        </w:rPr>
      </w:pPr>
      <w:r>
        <w:rPr>
          <w:rFonts w:ascii="Century Gothic" w:hAnsi="Century Gothic"/>
          <w:bCs/>
          <w:i/>
          <w:iCs/>
          <w:color w:val="auto"/>
          <w:sz w:val="21"/>
          <w:szCs w:val="21"/>
          <w:u w:val="single"/>
        </w:rPr>
        <w:t>umorzyć w całości</w:t>
      </w:r>
      <w:r>
        <w:rPr>
          <w:rFonts w:ascii="Century Gothic" w:hAnsi="Century Gothic"/>
          <w:bCs/>
          <w:i/>
          <w:iCs/>
          <w:color w:val="auto"/>
          <w:sz w:val="21"/>
          <w:szCs w:val="21"/>
        </w:rPr>
        <w:t xml:space="preserve"> postępowanie administracyjne w sprawie wydania decyzji o środowiskowych uwarunkowaniach dla przedsięwzięcia polegającego na budowie 4 budynków mieszkalnych w miejscowości Lubochnia, Gmina Gniezno, działka nr 145</w:t>
      </w:r>
    </w:p>
    <w:p w14:paraId="75C4F076" w14:textId="77777777" w:rsidR="002B0533" w:rsidRDefault="002B0533" w:rsidP="002B0533">
      <w:pPr>
        <w:keepNext/>
        <w:spacing w:after="120" w:line="276" w:lineRule="auto"/>
        <w:jc w:val="center"/>
        <w:outlineLvl w:val="1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Uzasadnienie</w:t>
      </w:r>
    </w:p>
    <w:p w14:paraId="1F49E152" w14:textId="77777777" w:rsidR="002B0533" w:rsidRDefault="002B0533" w:rsidP="002B0533">
      <w:pPr>
        <w:pStyle w:val="Nagwek6"/>
        <w:keepLines w:val="0"/>
        <w:spacing w:before="0" w:line="276" w:lineRule="auto"/>
        <w:ind w:right="-142"/>
        <w:jc w:val="both"/>
        <w:rPr>
          <w:rFonts w:ascii="Century Gothic" w:hAnsi="Century Gothic"/>
          <w:i w:val="0"/>
          <w:iCs w:val="0"/>
          <w:color w:val="auto"/>
        </w:rPr>
      </w:pPr>
      <w:r>
        <w:rPr>
          <w:rFonts w:ascii="Century Gothic" w:hAnsi="Century Gothic" w:cs="Calibri"/>
          <w:i w:val="0"/>
          <w:iCs w:val="0"/>
          <w:color w:val="auto"/>
          <w:lang w:eastAsia="en-US"/>
        </w:rPr>
        <w:t xml:space="preserve">1. </w:t>
      </w:r>
      <w:r>
        <w:rPr>
          <w:rFonts w:ascii="Century Gothic" w:hAnsi="Century Gothic"/>
          <w:i w:val="0"/>
          <w:iCs w:val="0"/>
          <w:color w:val="auto"/>
        </w:rPr>
        <w:t>Zgodnie z art. 105 § 1 Kpa „gdy postępowanie z jakiejkolwiek przyczyny stało się bezprzedmiotowe w całości albo w części, organ administracji publicznej wydaje decyzję o umorzeniu postępowania odpowiednio w całości albo w części”.</w:t>
      </w:r>
    </w:p>
    <w:p w14:paraId="7055C367" w14:textId="77777777" w:rsidR="002B0533" w:rsidRDefault="002B0533" w:rsidP="002B0533">
      <w:pPr>
        <w:spacing w:line="276" w:lineRule="auto"/>
        <w:jc w:val="both"/>
        <w:rPr>
          <w:rFonts w:ascii="Century Gothic" w:hAnsi="Century Gothic" w:cs="Calibri"/>
          <w:sz w:val="21"/>
          <w:szCs w:val="21"/>
          <w:lang w:eastAsia="en-US"/>
        </w:rPr>
      </w:pPr>
    </w:p>
    <w:p w14:paraId="25364499" w14:textId="226EECF7" w:rsidR="002B0533" w:rsidRDefault="002B0533" w:rsidP="002B0533">
      <w:pPr>
        <w:spacing w:line="276" w:lineRule="auto"/>
        <w:jc w:val="both"/>
        <w:rPr>
          <w:rFonts w:ascii="Century Gothic" w:hAnsi="Century Gothic" w:cs="Calibri"/>
          <w:sz w:val="21"/>
          <w:szCs w:val="21"/>
        </w:rPr>
      </w:pPr>
      <w:r>
        <w:rPr>
          <w:rFonts w:ascii="Century Gothic" w:hAnsi="Century Gothic" w:cs="Calibri"/>
          <w:sz w:val="21"/>
          <w:szCs w:val="21"/>
          <w:lang w:eastAsia="en-US"/>
        </w:rPr>
        <w:lastRenderedPageBreak/>
        <w:t xml:space="preserve">2. </w:t>
      </w:r>
      <w:r>
        <w:rPr>
          <w:rFonts w:ascii="Century Gothic" w:hAnsi="Century Gothic" w:cs="Calibri"/>
          <w:sz w:val="21"/>
          <w:szCs w:val="21"/>
        </w:rPr>
        <w:t xml:space="preserve">Wnioskiem z dnia 16 maja 2025 r. (data wpływu 16.05.2025 r.) </w:t>
      </w:r>
      <w:r>
        <w:rPr>
          <w:rFonts w:ascii="Century Gothic" w:hAnsi="Century Gothic"/>
          <w:sz w:val="21"/>
          <w:szCs w:val="21"/>
          <w:lang w:eastAsia="en-US"/>
        </w:rPr>
        <w:t>Inwestor</w:t>
      </w:r>
      <w:r>
        <w:rPr>
          <w:rFonts w:ascii="Century Gothic" w:eastAsiaTheme="minorHAnsi" w:hAnsi="Century Gothic" w:cstheme="minorBidi"/>
          <w:sz w:val="21"/>
          <w:szCs w:val="21"/>
          <w:lang w:eastAsia="en-US"/>
        </w:rPr>
        <w:t xml:space="preserve"> </w:t>
      </w:r>
      <w:r>
        <w:rPr>
          <w:rFonts w:ascii="Century Gothic" w:hAnsi="Century Gothic"/>
          <w:sz w:val="21"/>
          <w:szCs w:val="21"/>
        </w:rPr>
        <w:t>Pani Beata G</w:t>
      </w:r>
      <w:r>
        <w:rPr>
          <w:rFonts w:ascii="Century Gothic" w:hAnsi="Century Gothic"/>
          <w:sz w:val="21"/>
          <w:szCs w:val="21"/>
        </w:rPr>
        <w:t>.</w:t>
      </w:r>
      <w:r>
        <w:rPr>
          <w:rFonts w:ascii="Century Gothic" w:hAnsi="Century Gothic"/>
          <w:sz w:val="21"/>
          <w:szCs w:val="21"/>
        </w:rPr>
        <w:t xml:space="preserve"> reprezentowana przez Pełnomocnika Panią Annę Tritt Doradztwo Ekologiczne LADYBIRD, ul. Ogrodowa 1a, 62-241 Żydowo</w:t>
      </w:r>
      <w:r>
        <w:rPr>
          <w:rFonts w:ascii="Century Gothic" w:hAnsi="Century Gothic"/>
          <w:bCs/>
          <w:sz w:val="21"/>
          <w:szCs w:val="21"/>
        </w:rPr>
        <w:t xml:space="preserve"> </w:t>
      </w:r>
      <w:r>
        <w:rPr>
          <w:rFonts w:ascii="Century Gothic" w:hAnsi="Century Gothic" w:cs="Calibri"/>
          <w:sz w:val="21"/>
          <w:szCs w:val="21"/>
        </w:rPr>
        <w:t xml:space="preserve">zwróciła się do Wójta Gminy Gniezno o wydanie decyzji o środowiskowych uwarunkowaniach dla przedsięwzięcia polegającego </w:t>
      </w:r>
      <w:r>
        <w:rPr>
          <w:rFonts w:ascii="Century Gothic" w:hAnsi="Century Gothic" w:cs="Calibri"/>
          <w:sz w:val="21"/>
          <w:szCs w:val="21"/>
          <w:lang w:eastAsia="en-US"/>
        </w:rPr>
        <w:t>na</w:t>
      </w:r>
      <w:r>
        <w:rPr>
          <w:rFonts w:ascii="Century Gothic" w:eastAsiaTheme="minorHAnsi" w:hAnsi="Century Gothic" w:cstheme="minorBidi"/>
          <w:sz w:val="21"/>
          <w:szCs w:val="21"/>
          <w:lang w:eastAsia="en-US"/>
        </w:rPr>
        <w:t xml:space="preserve"> budowie</w:t>
      </w:r>
      <w:r>
        <w:rPr>
          <w:rFonts w:ascii="Century Gothic" w:hAnsi="Century Gothic"/>
          <w:b/>
          <w:sz w:val="21"/>
          <w:szCs w:val="21"/>
        </w:rPr>
        <w:t xml:space="preserve"> </w:t>
      </w:r>
      <w:r>
        <w:rPr>
          <w:rFonts w:ascii="Century Gothic" w:hAnsi="Century Gothic"/>
          <w:bCs/>
          <w:sz w:val="21"/>
          <w:szCs w:val="21"/>
        </w:rPr>
        <w:t>4 budynków mieszkalnych w miejscowości Lubochnia, Gmina Gniezno, działka nr 145</w:t>
      </w:r>
      <w:r>
        <w:rPr>
          <w:rFonts w:ascii="Century Gothic" w:hAnsi="Century Gothic"/>
          <w:bCs/>
          <w:sz w:val="21"/>
          <w:szCs w:val="21"/>
          <w:lang w:eastAsia="en-US"/>
        </w:rPr>
        <w:t xml:space="preserve">, </w:t>
      </w:r>
      <w:r>
        <w:rPr>
          <w:rFonts w:ascii="Century Gothic" w:hAnsi="Century Gothic" w:cs="Calibri"/>
          <w:sz w:val="21"/>
          <w:szCs w:val="21"/>
        </w:rPr>
        <w:t>dołączając do wniosku kartę informacyjną przedsięwzięcia (również w wersji elektronicznej), poświadczoną przez właściwy organ mapę ewidencyjną w skali 1:2000, obejmującą przewidywany teren na którym będzie realizowane przedsięwzięcie oraz obejmującą przewidywany obszar, na który będzie oddziaływać przedsięwzięcie, (również w wersji elektronicznej) oraz pełnomocnictwo z opłata skarbową.</w:t>
      </w:r>
    </w:p>
    <w:p w14:paraId="2DF276ED" w14:textId="77777777" w:rsidR="002B0533" w:rsidRDefault="002B0533" w:rsidP="002B0533">
      <w:pPr>
        <w:widowControl w:val="0"/>
        <w:spacing w:line="276" w:lineRule="auto"/>
        <w:ind w:right="74"/>
        <w:contextualSpacing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  <w:lang w:eastAsia="en-US"/>
        </w:rPr>
        <w:t xml:space="preserve">2. </w:t>
      </w:r>
      <w:r>
        <w:rPr>
          <w:rFonts w:ascii="Century Gothic" w:hAnsi="Century Gothic"/>
          <w:sz w:val="21"/>
          <w:szCs w:val="21"/>
        </w:rPr>
        <w:t xml:space="preserve">Na podstawie art. 75 ust. 1 pkt 4 ustawy o udostępnieniu informacji o środowisku i jego ochronie, udziale społeczeństwa w ochronie środowiska oraz ocenach oddziaływania na środowisko, zwanej dalej ustawą </w:t>
      </w:r>
      <w:proofErr w:type="spellStart"/>
      <w:r>
        <w:rPr>
          <w:rFonts w:ascii="Century Gothic" w:hAnsi="Century Gothic"/>
          <w:sz w:val="21"/>
          <w:szCs w:val="21"/>
        </w:rPr>
        <w:t>ooś</w:t>
      </w:r>
      <w:proofErr w:type="spellEnd"/>
      <w:r>
        <w:rPr>
          <w:rFonts w:ascii="Century Gothic" w:hAnsi="Century Gothic"/>
          <w:sz w:val="21"/>
          <w:szCs w:val="21"/>
        </w:rPr>
        <w:t xml:space="preserve">, stwierdzono, że organem właściwym do wydania decyzji o środowiskowych uwarunkowaniach jest Wójt Gminy Gniezno. </w:t>
      </w:r>
    </w:p>
    <w:p w14:paraId="49C937AA" w14:textId="77777777" w:rsidR="002B0533" w:rsidRDefault="002B0533" w:rsidP="002B0533">
      <w:pPr>
        <w:spacing w:line="276" w:lineRule="auto"/>
        <w:jc w:val="both"/>
        <w:rPr>
          <w:rFonts w:ascii="Century Gothic" w:hAnsi="Century Gothic" w:cs="Calibri"/>
          <w:bCs/>
          <w:sz w:val="21"/>
          <w:szCs w:val="21"/>
        </w:rPr>
      </w:pPr>
      <w:r>
        <w:rPr>
          <w:rFonts w:ascii="Century Gothic" w:hAnsi="Century Gothic" w:cs="Calibri"/>
          <w:sz w:val="21"/>
          <w:szCs w:val="21"/>
        </w:rPr>
        <w:t xml:space="preserve">3. Na podstawie wniosku, karty informacyjnej przedsięwzięcia oraz Postanowienia Regionalnego Dyrektora Ochrony Środowiska w Poznaniu </w:t>
      </w:r>
      <w:r>
        <w:rPr>
          <w:rFonts w:ascii="Century Gothic" w:hAnsi="Century Gothic"/>
          <w:bCs/>
          <w:sz w:val="21"/>
          <w:szCs w:val="21"/>
        </w:rPr>
        <w:t>nr WPP-I.612.415.2025.JW z dnia 4 marca 2025 roku stwierdzono, że</w:t>
      </w:r>
      <w:r>
        <w:rPr>
          <w:rFonts w:ascii="Century Gothic" w:hAnsi="Century Gothic" w:cs="Calibri"/>
          <w:sz w:val="21"/>
          <w:szCs w:val="21"/>
        </w:rPr>
        <w:t xml:space="preserve"> planowane przedsięwzięcie należy do przedsięwzięć mogących potencjalnie znacząco oddziaływać na środowisko – wymienione jest w </w:t>
      </w:r>
      <w:r>
        <w:rPr>
          <w:rFonts w:ascii="Century Gothic" w:hAnsi="Century Gothic"/>
          <w:bCs/>
          <w:sz w:val="21"/>
          <w:szCs w:val="21"/>
        </w:rPr>
        <w:t xml:space="preserve">§ 3 ust. 1 pkt 55 lit. b </w:t>
      </w:r>
      <w:proofErr w:type="spellStart"/>
      <w:r>
        <w:rPr>
          <w:rFonts w:ascii="Century Gothic" w:hAnsi="Century Gothic"/>
          <w:bCs/>
          <w:sz w:val="21"/>
          <w:szCs w:val="21"/>
        </w:rPr>
        <w:t>tiret</w:t>
      </w:r>
      <w:proofErr w:type="spellEnd"/>
      <w:r>
        <w:rPr>
          <w:rFonts w:ascii="Century Gothic" w:hAnsi="Century Gothic"/>
          <w:bCs/>
          <w:sz w:val="21"/>
          <w:szCs w:val="21"/>
        </w:rPr>
        <w:t xml:space="preserve"> pierwsze i  § 3 ust. 1 pkt 88 lit. c</w:t>
      </w:r>
      <w:r>
        <w:rPr>
          <w:rFonts w:ascii="Century Gothic" w:hAnsi="Century Gothic" w:cs="Calibri"/>
          <w:sz w:val="21"/>
          <w:szCs w:val="21"/>
        </w:rPr>
        <w:t xml:space="preserve"> </w:t>
      </w:r>
      <w:r>
        <w:rPr>
          <w:rFonts w:ascii="Century Gothic" w:hAnsi="Century Gothic" w:cs="Calibri"/>
          <w:bCs/>
          <w:sz w:val="21"/>
          <w:szCs w:val="21"/>
        </w:rPr>
        <w:t>Rozporządzenia Rady Ministrów z dnia 10 września 2019 r. w sprawie przedsięwzięć mogących znacząco oddziaływać na środowisko  /Dz. U. z 2019 r. poz. 1839/.</w:t>
      </w:r>
      <w:r>
        <w:rPr>
          <w:rFonts w:ascii="Century Gothic" w:hAnsi="Century Gothic" w:cs="Calibri"/>
          <w:sz w:val="21"/>
          <w:szCs w:val="21"/>
        </w:rPr>
        <w:t xml:space="preserve"> Wobec</w:t>
      </w:r>
      <w:r>
        <w:rPr>
          <w:rFonts w:ascii="Century Gothic" w:hAnsi="Century Gothic" w:cs="Calibri"/>
          <w:spacing w:val="24"/>
          <w:sz w:val="21"/>
          <w:szCs w:val="21"/>
        </w:rPr>
        <w:t xml:space="preserve"> </w:t>
      </w:r>
      <w:r>
        <w:rPr>
          <w:rFonts w:ascii="Century Gothic" w:hAnsi="Century Gothic" w:cs="Calibri"/>
          <w:sz w:val="21"/>
          <w:szCs w:val="21"/>
        </w:rPr>
        <w:t>powyż</w:t>
      </w:r>
      <w:r>
        <w:rPr>
          <w:rFonts w:ascii="Century Gothic" w:hAnsi="Century Gothic" w:cs="Calibri"/>
          <w:spacing w:val="-17"/>
          <w:sz w:val="21"/>
          <w:szCs w:val="21"/>
        </w:rPr>
        <w:t>s</w:t>
      </w:r>
      <w:r>
        <w:rPr>
          <w:rFonts w:ascii="Century Gothic" w:hAnsi="Century Gothic" w:cs="Calibri"/>
          <w:sz w:val="21"/>
          <w:szCs w:val="21"/>
        </w:rPr>
        <w:t>zego</w:t>
      </w:r>
      <w:r>
        <w:rPr>
          <w:rFonts w:ascii="Century Gothic" w:hAnsi="Century Gothic" w:cs="Calibri"/>
          <w:spacing w:val="46"/>
          <w:sz w:val="21"/>
          <w:szCs w:val="21"/>
        </w:rPr>
        <w:t xml:space="preserve"> </w:t>
      </w:r>
      <w:r>
        <w:rPr>
          <w:rFonts w:ascii="Century Gothic" w:hAnsi="Century Gothic" w:cs="Calibri"/>
          <w:sz w:val="21"/>
          <w:szCs w:val="21"/>
        </w:rPr>
        <w:t>przedmiotowe</w:t>
      </w:r>
      <w:r>
        <w:rPr>
          <w:rFonts w:ascii="Century Gothic" w:hAnsi="Century Gothic" w:cs="Calibri"/>
          <w:spacing w:val="37"/>
          <w:sz w:val="21"/>
          <w:szCs w:val="21"/>
        </w:rPr>
        <w:t xml:space="preserve"> </w:t>
      </w:r>
      <w:r>
        <w:rPr>
          <w:rFonts w:ascii="Century Gothic" w:hAnsi="Century Gothic" w:cs="Calibri"/>
          <w:sz w:val="21"/>
          <w:szCs w:val="21"/>
        </w:rPr>
        <w:t>przedsięwzięcie</w:t>
      </w:r>
      <w:r>
        <w:rPr>
          <w:rFonts w:ascii="Century Gothic" w:hAnsi="Century Gothic" w:cs="Calibri"/>
          <w:spacing w:val="16"/>
          <w:sz w:val="21"/>
          <w:szCs w:val="21"/>
        </w:rPr>
        <w:t xml:space="preserve"> </w:t>
      </w:r>
      <w:r>
        <w:rPr>
          <w:rFonts w:ascii="Century Gothic" w:hAnsi="Century Gothic" w:cs="Calibri"/>
          <w:sz w:val="21"/>
          <w:szCs w:val="21"/>
        </w:rPr>
        <w:t>zalicza</w:t>
      </w:r>
      <w:r>
        <w:rPr>
          <w:rFonts w:ascii="Century Gothic" w:hAnsi="Century Gothic" w:cs="Calibri"/>
          <w:spacing w:val="13"/>
          <w:sz w:val="21"/>
          <w:szCs w:val="21"/>
        </w:rPr>
        <w:t xml:space="preserve"> </w:t>
      </w:r>
      <w:r>
        <w:rPr>
          <w:rFonts w:ascii="Century Gothic" w:hAnsi="Century Gothic" w:cs="Calibri"/>
          <w:sz w:val="21"/>
          <w:szCs w:val="21"/>
        </w:rPr>
        <w:t>się do</w:t>
      </w:r>
      <w:r>
        <w:rPr>
          <w:rFonts w:ascii="Century Gothic" w:hAnsi="Century Gothic" w:cs="Calibri"/>
          <w:spacing w:val="15"/>
          <w:sz w:val="21"/>
          <w:szCs w:val="21"/>
        </w:rPr>
        <w:t xml:space="preserve"> </w:t>
      </w:r>
      <w:r>
        <w:rPr>
          <w:rFonts w:ascii="Century Gothic" w:hAnsi="Century Gothic" w:cs="Calibri"/>
          <w:sz w:val="21"/>
          <w:szCs w:val="21"/>
        </w:rPr>
        <w:t>przedsięwzięć</w:t>
      </w:r>
      <w:r>
        <w:rPr>
          <w:rFonts w:ascii="Century Gothic" w:hAnsi="Century Gothic" w:cs="Calibri"/>
          <w:spacing w:val="17"/>
          <w:sz w:val="21"/>
          <w:szCs w:val="21"/>
        </w:rPr>
        <w:t xml:space="preserve"> </w:t>
      </w:r>
      <w:r>
        <w:rPr>
          <w:rFonts w:ascii="Century Gothic" w:hAnsi="Century Gothic" w:cs="Calibri"/>
          <w:sz w:val="21"/>
          <w:szCs w:val="21"/>
        </w:rPr>
        <w:t xml:space="preserve">mogących potencjalnie </w:t>
      </w:r>
      <w:r>
        <w:rPr>
          <w:rFonts w:ascii="Century Gothic" w:hAnsi="Century Gothic" w:cs="Calibri"/>
          <w:spacing w:val="7"/>
          <w:sz w:val="21"/>
          <w:szCs w:val="21"/>
        </w:rPr>
        <w:t xml:space="preserve"> </w:t>
      </w:r>
      <w:r>
        <w:rPr>
          <w:rFonts w:ascii="Century Gothic" w:hAnsi="Century Gothic" w:cs="Calibri"/>
          <w:sz w:val="21"/>
          <w:szCs w:val="21"/>
        </w:rPr>
        <w:t>znacząco</w:t>
      </w:r>
      <w:r>
        <w:rPr>
          <w:rFonts w:ascii="Century Gothic" w:hAnsi="Century Gothic" w:cs="Calibri"/>
          <w:spacing w:val="-18"/>
          <w:sz w:val="21"/>
          <w:szCs w:val="21"/>
        </w:rPr>
        <w:t xml:space="preserve"> </w:t>
      </w:r>
      <w:r>
        <w:rPr>
          <w:rFonts w:ascii="Century Gothic" w:hAnsi="Century Gothic" w:cs="Calibri"/>
          <w:sz w:val="21"/>
          <w:szCs w:val="21"/>
        </w:rPr>
        <w:t xml:space="preserve">oddziaływać </w:t>
      </w:r>
      <w:r>
        <w:rPr>
          <w:rFonts w:ascii="Century Gothic" w:hAnsi="Century Gothic" w:cs="Calibri"/>
          <w:spacing w:val="6"/>
          <w:sz w:val="21"/>
          <w:szCs w:val="21"/>
        </w:rPr>
        <w:t xml:space="preserve"> </w:t>
      </w:r>
      <w:r>
        <w:rPr>
          <w:rFonts w:ascii="Century Gothic" w:hAnsi="Century Gothic" w:cs="Calibri"/>
          <w:sz w:val="21"/>
          <w:szCs w:val="21"/>
        </w:rPr>
        <w:t>na</w:t>
      </w:r>
      <w:r>
        <w:rPr>
          <w:rFonts w:ascii="Century Gothic" w:hAnsi="Century Gothic" w:cs="Calibri"/>
          <w:spacing w:val="27"/>
          <w:sz w:val="21"/>
          <w:szCs w:val="21"/>
        </w:rPr>
        <w:t xml:space="preserve"> </w:t>
      </w:r>
      <w:r>
        <w:rPr>
          <w:rFonts w:ascii="Century Gothic" w:hAnsi="Century Gothic" w:cs="Calibri"/>
          <w:sz w:val="21"/>
          <w:szCs w:val="21"/>
        </w:rPr>
        <w:t>środowisko,</w:t>
      </w:r>
      <w:r>
        <w:rPr>
          <w:rFonts w:ascii="Century Gothic" w:hAnsi="Century Gothic" w:cs="Calibri"/>
          <w:spacing w:val="5"/>
          <w:sz w:val="21"/>
          <w:szCs w:val="21"/>
        </w:rPr>
        <w:t xml:space="preserve"> </w:t>
      </w:r>
      <w:r>
        <w:rPr>
          <w:rFonts w:ascii="Century Gothic" w:hAnsi="Century Gothic" w:cs="Calibri"/>
          <w:sz w:val="21"/>
          <w:szCs w:val="21"/>
        </w:rPr>
        <w:t>dla</w:t>
      </w:r>
      <w:r>
        <w:rPr>
          <w:rFonts w:ascii="Century Gothic" w:hAnsi="Century Gothic" w:cs="Calibri"/>
          <w:spacing w:val="42"/>
          <w:sz w:val="21"/>
          <w:szCs w:val="21"/>
        </w:rPr>
        <w:t xml:space="preserve"> </w:t>
      </w:r>
      <w:r>
        <w:rPr>
          <w:rFonts w:ascii="Century Gothic" w:hAnsi="Century Gothic" w:cs="Calibri"/>
          <w:sz w:val="21"/>
          <w:szCs w:val="21"/>
        </w:rPr>
        <w:t>których</w:t>
      </w:r>
      <w:r>
        <w:rPr>
          <w:rFonts w:ascii="Century Gothic" w:hAnsi="Century Gothic" w:cs="Calibri"/>
          <w:spacing w:val="48"/>
          <w:sz w:val="21"/>
          <w:szCs w:val="21"/>
        </w:rPr>
        <w:t xml:space="preserve"> </w:t>
      </w:r>
      <w:r>
        <w:rPr>
          <w:rFonts w:ascii="Century Gothic" w:hAnsi="Century Gothic" w:cs="Calibri"/>
          <w:sz w:val="21"/>
          <w:szCs w:val="21"/>
        </w:rPr>
        <w:t>obowiązek</w:t>
      </w:r>
      <w:r>
        <w:rPr>
          <w:rFonts w:ascii="Century Gothic" w:hAnsi="Century Gothic" w:cs="Calibri"/>
          <w:spacing w:val="-4"/>
          <w:sz w:val="21"/>
          <w:szCs w:val="21"/>
        </w:rPr>
        <w:t xml:space="preserve"> </w:t>
      </w:r>
      <w:r>
        <w:rPr>
          <w:rFonts w:ascii="Century Gothic" w:hAnsi="Century Gothic" w:cs="Calibri"/>
          <w:w w:val="102"/>
          <w:sz w:val="21"/>
          <w:szCs w:val="21"/>
        </w:rPr>
        <w:t>przeprowa</w:t>
      </w:r>
      <w:r>
        <w:rPr>
          <w:rFonts w:ascii="Century Gothic" w:hAnsi="Century Gothic" w:cs="Calibri"/>
          <w:spacing w:val="11"/>
          <w:w w:val="103"/>
          <w:sz w:val="21"/>
          <w:szCs w:val="21"/>
        </w:rPr>
        <w:t>d</w:t>
      </w:r>
      <w:r>
        <w:rPr>
          <w:rFonts w:ascii="Century Gothic" w:hAnsi="Century Gothic" w:cs="Calibri"/>
          <w:w w:val="107"/>
          <w:sz w:val="21"/>
          <w:szCs w:val="21"/>
        </w:rPr>
        <w:t>z</w:t>
      </w:r>
      <w:r>
        <w:rPr>
          <w:rFonts w:ascii="Century Gothic" w:hAnsi="Century Gothic" w:cs="Calibri"/>
          <w:spacing w:val="-3"/>
          <w:w w:val="107"/>
          <w:sz w:val="21"/>
          <w:szCs w:val="21"/>
        </w:rPr>
        <w:t>e</w:t>
      </w:r>
      <w:r>
        <w:rPr>
          <w:rFonts w:ascii="Century Gothic" w:hAnsi="Century Gothic" w:cs="Calibri"/>
          <w:w w:val="99"/>
          <w:sz w:val="21"/>
          <w:szCs w:val="21"/>
        </w:rPr>
        <w:t xml:space="preserve">nia </w:t>
      </w:r>
      <w:r>
        <w:rPr>
          <w:rFonts w:ascii="Century Gothic" w:hAnsi="Century Gothic" w:cs="Calibri"/>
          <w:sz w:val="21"/>
          <w:szCs w:val="21"/>
        </w:rPr>
        <w:t>oceny</w:t>
      </w:r>
      <w:r>
        <w:rPr>
          <w:rFonts w:ascii="Century Gothic" w:hAnsi="Century Gothic" w:cs="Calibri"/>
          <w:spacing w:val="22"/>
          <w:sz w:val="21"/>
          <w:szCs w:val="21"/>
        </w:rPr>
        <w:t xml:space="preserve"> </w:t>
      </w:r>
      <w:r>
        <w:rPr>
          <w:rFonts w:ascii="Century Gothic" w:hAnsi="Century Gothic" w:cs="Calibri"/>
          <w:sz w:val="21"/>
          <w:szCs w:val="21"/>
        </w:rPr>
        <w:t>oddziaływania</w:t>
      </w:r>
      <w:r>
        <w:rPr>
          <w:rFonts w:ascii="Century Gothic" w:hAnsi="Century Gothic" w:cs="Calibri"/>
          <w:spacing w:val="45"/>
          <w:sz w:val="21"/>
          <w:szCs w:val="21"/>
        </w:rPr>
        <w:t xml:space="preserve"> </w:t>
      </w:r>
      <w:r>
        <w:rPr>
          <w:rFonts w:ascii="Century Gothic" w:hAnsi="Century Gothic" w:cs="Calibri"/>
          <w:sz w:val="21"/>
          <w:szCs w:val="21"/>
        </w:rPr>
        <w:t>na środowisko</w:t>
      </w:r>
      <w:r>
        <w:rPr>
          <w:rFonts w:ascii="Century Gothic" w:hAnsi="Century Gothic" w:cs="Calibri"/>
          <w:spacing w:val="40"/>
          <w:sz w:val="21"/>
          <w:szCs w:val="21"/>
        </w:rPr>
        <w:t xml:space="preserve"> </w:t>
      </w:r>
      <w:r>
        <w:rPr>
          <w:rFonts w:ascii="Century Gothic" w:hAnsi="Century Gothic" w:cs="Calibri"/>
          <w:sz w:val="21"/>
          <w:szCs w:val="21"/>
        </w:rPr>
        <w:t>może</w:t>
      </w:r>
      <w:r>
        <w:rPr>
          <w:rFonts w:ascii="Century Gothic" w:hAnsi="Century Gothic" w:cs="Calibri"/>
          <w:spacing w:val="26"/>
          <w:sz w:val="21"/>
          <w:szCs w:val="21"/>
        </w:rPr>
        <w:t xml:space="preserve"> </w:t>
      </w:r>
      <w:r>
        <w:rPr>
          <w:rFonts w:ascii="Century Gothic" w:hAnsi="Century Gothic" w:cs="Calibri"/>
          <w:sz w:val="21"/>
          <w:szCs w:val="21"/>
        </w:rPr>
        <w:t>być</w:t>
      </w:r>
      <w:r>
        <w:rPr>
          <w:rFonts w:ascii="Century Gothic" w:hAnsi="Century Gothic" w:cs="Calibri"/>
          <w:spacing w:val="-4"/>
          <w:sz w:val="21"/>
          <w:szCs w:val="21"/>
        </w:rPr>
        <w:t xml:space="preserve"> </w:t>
      </w:r>
      <w:r>
        <w:rPr>
          <w:rFonts w:ascii="Century Gothic" w:hAnsi="Century Gothic" w:cs="Calibri"/>
          <w:w w:val="103"/>
          <w:sz w:val="21"/>
          <w:szCs w:val="21"/>
        </w:rPr>
        <w:t>stwierdzony.</w:t>
      </w:r>
    </w:p>
    <w:p w14:paraId="47695F3B" w14:textId="77777777" w:rsidR="002B0533" w:rsidRDefault="002B0533" w:rsidP="002B0533">
      <w:pPr>
        <w:spacing w:line="276" w:lineRule="auto"/>
        <w:jc w:val="both"/>
        <w:rPr>
          <w:rFonts w:ascii="Century Gothic" w:eastAsia="Calibri" w:hAnsi="Century Gothic" w:cs="Calibri"/>
          <w:sz w:val="21"/>
          <w:szCs w:val="21"/>
        </w:rPr>
      </w:pPr>
      <w:r>
        <w:rPr>
          <w:rFonts w:ascii="Century Gothic" w:eastAsia="Calibri" w:hAnsi="Century Gothic" w:cs="Calibri"/>
          <w:sz w:val="21"/>
          <w:szCs w:val="21"/>
        </w:rPr>
        <w:t xml:space="preserve">4. Dane o wniosku zostały zamieszczone w publicznie dostępnym wykazie danych, </w:t>
      </w:r>
      <w:r>
        <w:rPr>
          <w:rFonts w:ascii="Century Gothic" w:eastAsia="Calibri" w:hAnsi="Century Gothic" w:cs="Calibri"/>
          <w:sz w:val="21"/>
          <w:szCs w:val="21"/>
        </w:rPr>
        <w:br/>
        <w:t>z którym można się zapoznać w Urzędzie Gminy Gniezno, al. Reymonta 9-11, pokój nr 9, w godzinach urzędowania oraz na stronie internetowej www.ekoportal.gov.pl – centrum informacji o środowisku.</w:t>
      </w:r>
    </w:p>
    <w:p w14:paraId="3077388B" w14:textId="77777777" w:rsidR="002B0533" w:rsidRDefault="002B0533" w:rsidP="002B0533">
      <w:pPr>
        <w:spacing w:line="276" w:lineRule="auto"/>
        <w:jc w:val="both"/>
        <w:rPr>
          <w:rFonts w:ascii="Century Gothic" w:hAnsi="Century Gothic"/>
          <w:b/>
          <w:sz w:val="21"/>
          <w:szCs w:val="21"/>
          <w:lang w:eastAsia="en-US"/>
        </w:rPr>
      </w:pPr>
      <w:r>
        <w:rPr>
          <w:rFonts w:ascii="Century Gothic" w:hAnsi="Century Gothic" w:cs="Calibri"/>
          <w:w w:val="103"/>
          <w:sz w:val="21"/>
          <w:szCs w:val="21"/>
          <w:lang w:eastAsia="en-US"/>
        </w:rPr>
        <w:t xml:space="preserve">5. </w:t>
      </w:r>
      <w:r>
        <w:rPr>
          <w:rFonts w:ascii="Century Gothic" w:eastAsiaTheme="minorHAnsi" w:hAnsi="Century Gothic" w:cs="Calibri"/>
          <w:w w:val="103"/>
          <w:sz w:val="21"/>
          <w:szCs w:val="21"/>
          <w:lang w:eastAsia="en-US"/>
        </w:rPr>
        <w:t>W związku</w:t>
      </w:r>
      <w:r>
        <w:rPr>
          <w:rFonts w:ascii="Century Gothic" w:eastAsiaTheme="minorHAnsi" w:hAnsi="Century Gothic" w:cstheme="minorBidi"/>
          <w:sz w:val="21"/>
          <w:szCs w:val="21"/>
          <w:lang w:eastAsia="en-US"/>
        </w:rPr>
        <w:t xml:space="preserve"> z tym, iż liczba stron przedmiotowego postępowania przekraczała 10, Wójt Gminy Gniezno zawiadomił strony postępowania administracyjnego w formie Obwieszczenia (znak OŚR. 6220.8.2025 z dnia 22 maja 2025 r.) o wszczętym w dniu 16 maja 2025 r. postępowaniu w sprawie wydania decyzji o środowiskowych uwarunkowaniach dla wnioskowanego przedsięwzięcia informując o możliwości zapoznania się z aktami sprawy.</w:t>
      </w:r>
    </w:p>
    <w:p w14:paraId="68C10BBA" w14:textId="77777777" w:rsidR="002B0533" w:rsidRDefault="002B0533" w:rsidP="002B0533">
      <w:pPr>
        <w:spacing w:line="276" w:lineRule="auto"/>
        <w:jc w:val="both"/>
        <w:rPr>
          <w:rFonts w:ascii="Century Gothic" w:eastAsia="Calibri" w:hAnsi="Century Gothic" w:cs="Calibri"/>
          <w:sz w:val="21"/>
          <w:szCs w:val="21"/>
          <w:lang w:eastAsia="en-US"/>
        </w:rPr>
      </w:pPr>
      <w:r>
        <w:rPr>
          <w:rFonts w:ascii="Century Gothic" w:eastAsia="Calibri" w:hAnsi="Century Gothic" w:cs="Calibri"/>
          <w:sz w:val="21"/>
          <w:szCs w:val="21"/>
        </w:rPr>
        <w:t xml:space="preserve">6. Zgodnie </w:t>
      </w:r>
      <w:r>
        <w:rPr>
          <w:rFonts w:ascii="Century Gothic" w:eastAsia="Calibri" w:hAnsi="Century Gothic" w:cs="Calibri"/>
          <w:sz w:val="21"/>
          <w:szCs w:val="21"/>
          <w:lang w:eastAsia="en-US"/>
        </w:rPr>
        <w:t xml:space="preserve">z art. 64 ust. 1 pkt 1, 2 i 4, ust. 2, 3 i 4 ustawy z dnia 3 października </w:t>
      </w:r>
      <w:r>
        <w:rPr>
          <w:rFonts w:ascii="Century Gothic" w:eastAsia="Calibri" w:hAnsi="Century Gothic" w:cs="Calibri"/>
          <w:bCs/>
          <w:sz w:val="21"/>
          <w:szCs w:val="21"/>
          <w:lang w:eastAsia="en-US"/>
        </w:rPr>
        <w:t>2008 roku o udostępnianiu informacji o środowisku i jego ochronie, udziale społeczeństwa w ochronie środowiska oraz o ocenach oddziaływania na środowisko</w:t>
      </w:r>
      <w:r>
        <w:rPr>
          <w:rFonts w:ascii="Century Gothic" w:eastAsia="Calibri" w:hAnsi="Century Gothic" w:cs="Calibri"/>
          <w:sz w:val="21"/>
          <w:szCs w:val="21"/>
          <w:lang w:eastAsia="en-US"/>
        </w:rPr>
        <w:t xml:space="preserve"> Organ prowadzący postępowanie wystąpił o opinię w sprawie potrzeby przeprowadzenia OOŚ i ewentualne określenie zakresu raportu do Regionalnego Dyrektora Ochrony Środowiska w Poznaniu, Państwowego Powiatowego Inspektora Sanitarnego w Gnieźnie oraz Dyrektora Zarządu Zlewni Wód Polskich w Poznaniu. </w:t>
      </w:r>
      <w:r>
        <w:rPr>
          <w:rFonts w:ascii="Century Gothic" w:hAnsi="Century Gothic" w:cs="Calibri"/>
          <w:sz w:val="21"/>
          <w:szCs w:val="21"/>
          <w:lang w:eastAsia="en-US"/>
        </w:rPr>
        <w:t>Organy te wydały opinie/postanowienia stwierdzające brak potrzeby przeprowadzania oceny oddziaływania przedmiotowego przedsięwzięcia na środowisko (brak potrzeby wykonania raportu dla ww. przedsięwzięcia). Poniżej przedmiotowe opinie/ postanowienia:</w:t>
      </w:r>
    </w:p>
    <w:p w14:paraId="50EBD99A" w14:textId="77777777" w:rsidR="002B0533" w:rsidRDefault="002B0533" w:rsidP="002B0533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ascii="Century Gothic" w:eastAsiaTheme="minorHAnsi" w:hAnsi="Century Gothic" w:cs="Calibri"/>
          <w:sz w:val="21"/>
          <w:szCs w:val="21"/>
        </w:rPr>
      </w:pPr>
      <w:r>
        <w:rPr>
          <w:rFonts w:ascii="Century Gothic" w:eastAsiaTheme="minorHAnsi" w:hAnsi="Century Gothic" w:cs="Calibri"/>
          <w:sz w:val="21"/>
          <w:szCs w:val="21"/>
        </w:rPr>
        <w:t xml:space="preserve">Opinia sanitarna Państwowego Powiatowego Inspektora Sanitarnego w Gnieźnie z dnia 4 czerwca 2025 r. </w:t>
      </w:r>
      <w:bookmarkStart w:id="1" w:name="_Hlk187313243"/>
      <w:r>
        <w:rPr>
          <w:rFonts w:ascii="Century Gothic" w:eastAsiaTheme="minorHAnsi" w:hAnsi="Century Gothic" w:cs="Calibri"/>
          <w:sz w:val="21"/>
          <w:szCs w:val="21"/>
        </w:rPr>
        <w:t xml:space="preserve">znak ON-NS.9022.5.32.2025 (data wpływu 5.06.2025 r.), </w:t>
      </w:r>
      <w:bookmarkEnd w:id="1"/>
    </w:p>
    <w:p w14:paraId="0307CC87" w14:textId="77777777" w:rsidR="002B0533" w:rsidRDefault="002B0533" w:rsidP="002B0533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ascii="Century Gothic" w:hAnsi="Century Gothic" w:cs="Calibri"/>
          <w:sz w:val="21"/>
          <w:szCs w:val="21"/>
        </w:rPr>
      </w:pPr>
      <w:r>
        <w:rPr>
          <w:rFonts w:ascii="Century Gothic" w:eastAsiaTheme="minorHAnsi" w:hAnsi="Century Gothic" w:cs="Calibri"/>
          <w:sz w:val="21"/>
          <w:szCs w:val="21"/>
        </w:rPr>
        <w:lastRenderedPageBreak/>
        <w:t>Opinia Dyrektora Zarządu Zlewni Wód Polskich w Poznaniu z dnia 5 czerwca 2025 r. znak PZ.ZZŚ.4901.238.2025.MS.1 (data wpływu 5.06.2025 r.),</w:t>
      </w:r>
    </w:p>
    <w:p w14:paraId="5D3E19E1" w14:textId="77777777" w:rsidR="002B0533" w:rsidRDefault="002B0533" w:rsidP="002B0533">
      <w:pPr>
        <w:spacing w:line="276" w:lineRule="auto"/>
        <w:ind w:firstLine="357"/>
        <w:jc w:val="both"/>
        <w:rPr>
          <w:rFonts w:ascii="Century Gothic" w:hAnsi="Century Gothic"/>
          <w:bCs/>
          <w:sz w:val="21"/>
          <w:szCs w:val="21"/>
        </w:rPr>
      </w:pPr>
      <w:r>
        <w:rPr>
          <w:rFonts w:ascii="Century Gothic" w:eastAsiaTheme="minorHAnsi" w:hAnsi="Century Gothic" w:cs="Calibri"/>
          <w:sz w:val="21"/>
          <w:szCs w:val="21"/>
        </w:rPr>
        <w:t xml:space="preserve">Regionalny Dyrektor Ochrony Środowiska w Poznaniu pismem nr </w:t>
      </w:r>
      <w:r>
        <w:rPr>
          <w:rFonts w:ascii="Century Gothic" w:hAnsi="Century Gothic"/>
          <w:sz w:val="21"/>
          <w:szCs w:val="21"/>
        </w:rPr>
        <w:t xml:space="preserve">WOO-IV.4220.800.2025.BC.2 z dnia 10 czerwca 2025 r. (data wpływu 10.06.2025 r.) zwrócił się do Wójta Gminy Gniezno z prośbą o weryfikację i uzasadnienie wskazanej w wystąpieniu o wydanie opinii, kwalifikacji przedmiotowego przedsięwzięcia do </w:t>
      </w:r>
      <w:bookmarkStart w:id="2" w:name="_Hlk198550163"/>
      <w:r>
        <w:rPr>
          <w:rFonts w:ascii="Century Gothic" w:hAnsi="Century Gothic"/>
          <w:bCs/>
          <w:sz w:val="21"/>
          <w:szCs w:val="21"/>
        </w:rPr>
        <w:t xml:space="preserve">§ 3 ust. 1 pkt 55 lit. b </w:t>
      </w:r>
      <w:bookmarkEnd w:id="2"/>
      <w:proofErr w:type="spellStart"/>
      <w:r>
        <w:rPr>
          <w:rFonts w:ascii="Century Gothic" w:hAnsi="Century Gothic"/>
          <w:bCs/>
          <w:sz w:val="21"/>
          <w:szCs w:val="21"/>
        </w:rPr>
        <w:t>tiret</w:t>
      </w:r>
      <w:proofErr w:type="spellEnd"/>
      <w:r>
        <w:rPr>
          <w:rFonts w:ascii="Century Gothic" w:hAnsi="Century Gothic"/>
          <w:bCs/>
          <w:sz w:val="21"/>
          <w:szCs w:val="21"/>
        </w:rPr>
        <w:t xml:space="preserve"> pierwsze i  § 3 ust. 1 pkt 88 lit. c Rozporządzenia Rady Ministrów z dnia 10 września 2019 r. w sprawie przedsięwzięć mogących znacząco oddziaływać na środowisko /Dz. U. z 2019 r., poz. 1839/. </w:t>
      </w:r>
    </w:p>
    <w:p w14:paraId="3273A77B" w14:textId="77777777" w:rsidR="002B0533" w:rsidRDefault="002B0533" w:rsidP="002B0533">
      <w:pPr>
        <w:spacing w:line="276" w:lineRule="auto"/>
        <w:ind w:firstLine="357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bCs/>
          <w:sz w:val="21"/>
          <w:szCs w:val="21"/>
        </w:rPr>
        <w:t xml:space="preserve">W odpowiedzi na powyższe oraz biorąc pod uwagę kolejne Postanowienie Regionalnego Dyrektora Ochrony Środowiska w Poznaniu nr WPP-I.612.415.2025.JW z dnia 9 czerwca 2025 roku prostujące z urzędu oczywistą pomyłkę w Postanowieniu z dnia 4 marca 2025 roku w zakresie kwalifikacji przedmiotowego przedsięwzięcia do § 3 ust. 1 pkt 55 lit. b </w:t>
      </w:r>
      <w:proofErr w:type="spellStart"/>
      <w:r>
        <w:rPr>
          <w:rFonts w:ascii="Century Gothic" w:hAnsi="Century Gothic"/>
          <w:bCs/>
          <w:sz w:val="21"/>
          <w:szCs w:val="21"/>
        </w:rPr>
        <w:t>tiret</w:t>
      </w:r>
      <w:proofErr w:type="spellEnd"/>
      <w:r>
        <w:rPr>
          <w:rFonts w:ascii="Century Gothic" w:hAnsi="Century Gothic"/>
          <w:bCs/>
          <w:sz w:val="21"/>
          <w:szCs w:val="21"/>
        </w:rPr>
        <w:t xml:space="preserve"> pierwsze, a także po ponownej analizie treści karty informacyjnej przedsięwzięcia, w której Inwestor jednoznacznie wskazuje, iż </w:t>
      </w:r>
      <w:r>
        <w:rPr>
          <w:rFonts w:ascii="Century Gothic" w:hAnsi="Century Gothic"/>
          <w:bCs/>
          <w:i/>
          <w:iCs/>
          <w:sz w:val="21"/>
          <w:szCs w:val="21"/>
        </w:rPr>
        <w:t xml:space="preserve">„w ramach inwestycji nie przewiduje się wycinki drzew i krzewów – istniejące wokół terenu inwestycji zadrzewienia i krzewy nie będą usuwane” </w:t>
      </w:r>
      <w:r>
        <w:rPr>
          <w:rFonts w:ascii="Century Gothic" w:hAnsi="Century Gothic"/>
          <w:bCs/>
          <w:sz w:val="21"/>
          <w:szCs w:val="21"/>
        </w:rPr>
        <w:t xml:space="preserve">(str. 11 kip), Wójt Gminy Gniezno </w:t>
      </w:r>
      <w:r>
        <w:rPr>
          <w:rFonts w:ascii="Century Gothic" w:hAnsi="Century Gothic"/>
          <w:sz w:val="21"/>
          <w:szCs w:val="21"/>
        </w:rPr>
        <w:t xml:space="preserve">stwierdził, że planowane przedsięwzięcie nie kwalifikuje się do </w:t>
      </w:r>
      <w:r>
        <w:rPr>
          <w:rFonts w:ascii="Century Gothic" w:hAnsi="Century Gothic"/>
          <w:bCs/>
          <w:sz w:val="21"/>
          <w:szCs w:val="21"/>
        </w:rPr>
        <w:t>§ 3 ust. 1 pkt 88 lit. c</w:t>
      </w:r>
      <w:r>
        <w:rPr>
          <w:rFonts w:ascii="Century Gothic" w:hAnsi="Century Gothic"/>
          <w:sz w:val="21"/>
          <w:szCs w:val="21"/>
        </w:rPr>
        <w:t xml:space="preserve"> ww. rozporządzenia i zgodnie z art. 71 ust. 2 ustawy </w:t>
      </w:r>
      <w:proofErr w:type="spellStart"/>
      <w:r>
        <w:rPr>
          <w:rFonts w:ascii="Century Gothic" w:hAnsi="Century Gothic"/>
          <w:sz w:val="21"/>
          <w:szCs w:val="21"/>
        </w:rPr>
        <w:t>Ooś</w:t>
      </w:r>
      <w:proofErr w:type="spellEnd"/>
      <w:r>
        <w:rPr>
          <w:rFonts w:ascii="Century Gothic" w:hAnsi="Century Gothic"/>
          <w:sz w:val="21"/>
          <w:szCs w:val="21"/>
        </w:rPr>
        <w:t xml:space="preserve"> nie podlega obowiązkowi uzyskania decyzji o środowiskowych uwarunkowaniach. W karcie informacyjnej przedsięwzięcia Inwestor wskazał, że zabudowa zostanie wkomponowana tak, aby wykluczyć lokalizację w obrębie zadrzewionym. W związku z tym przedmiotowe przedsięwzięcie nie może być zakwalifikowane do </w:t>
      </w:r>
      <w:r>
        <w:rPr>
          <w:rFonts w:ascii="Century Gothic" w:hAnsi="Century Gothic"/>
          <w:bCs/>
          <w:sz w:val="21"/>
          <w:szCs w:val="21"/>
        </w:rPr>
        <w:t xml:space="preserve">§ 3 ust. 1 pkt 88 lit. c ww. rozporządzenia, zgodnie z którym do przedsięwzięć mogących potencjalnie znacząco oddziaływać na środowisko zalicza się </w:t>
      </w:r>
      <w:r>
        <w:rPr>
          <w:rFonts w:ascii="Century Gothic" w:hAnsi="Century Gothic"/>
          <w:i/>
          <w:iCs/>
          <w:sz w:val="21"/>
          <w:szCs w:val="21"/>
        </w:rPr>
        <w:t xml:space="preserve">zmianę lasu, innego gruntu o zwartej powierzchni co najmniej 0,10 ha pokrytego roślinnością leśną - drzewami i krzewami oraz runem leśnym - lub nieużytku na użytek rolny lub wylesienie mające na celu zmianę sposobu użytkowania terenu na obszarach objętych formami ochrony przyrody, o których mowa w </w:t>
      </w:r>
      <w:hyperlink r:id="rId5" w:anchor="/document/17091515?unitId=art(6)ust(1)pkt(1)" w:history="1">
        <w:r>
          <w:rPr>
            <w:rStyle w:val="Hipercze"/>
            <w:rFonts w:ascii="Century Gothic" w:eastAsiaTheme="majorEastAsia" w:hAnsi="Century Gothic"/>
            <w:i/>
            <w:iCs/>
            <w:sz w:val="21"/>
            <w:szCs w:val="21"/>
          </w:rPr>
          <w:t>art. 6 ust. 1 pkt 1-5</w:t>
        </w:r>
      </w:hyperlink>
      <w:r>
        <w:rPr>
          <w:rFonts w:ascii="Century Gothic" w:hAnsi="Century Gothic"/>
          <w:i/>
          <w:iCs/>
          <w:sz w:val="21"/>
          <w:szCs w:val="21"/>
        </w:rPr>
        <w:t xml:space="preserve">, </w:t>
      </w:r>
      <w:hyperlink r:id="rId6" w:anchor="/document/17091515?unitId=art(6)ust(1)pkt(8)" w:history="1">
        <w:r>
          <w:rPr>
            <w:rStyle w:val="Hipercze"/>
            <w:rFonts w:ascii="Century Gothic" w:eastAsiaTheme="majorEastAsia" w:hAnsi="Century Gothic"/>
            <w:i/>
            <w:iCs/>
            <w:sz w:val="21"/>
            <w:szCs w:val="21"/>
          </w:rPr>
          <w:t>8</w:t>
        </w:r>
      </w:hyperlink>
      <w:r>
        <w:rPr>
          <w:rFonts w:ascii="Century Gothic" w:hAnsi="Century Gothic"/>
          <w:i/>
          <w:iCs/>
          <w:sz w:val="21"/>
          <w:szCs w:val="21"/>
        </w:rPr>
        <w:t xml:space="preserve"> i </w:t>
      </w:r>
      <w:hyperlink r:id="rId7" w:anchor="/document/17091515?unitId=art(6)ust(1)pkt(9)" w:history="1">
        <w:r>
          <w:rPr>
            <w:rStyle w:val="Hipercze"/>
            <w:rFonts w:ascii="Century Gothic" w:eastAsiaTheme="majorEastAsia" w:hAnsi="Century Gothic"/>
            <w:i/>
            <w:iCs/>
            <w:sz w:val="21"/>
            <w:szCs w:val="21"/>
          </w:rPr>
          <w:t>9</w:t>
        </w:r>
      </w:hyperlink>
      <w:r>
        <w:rPr>
          <w:rFonts w:ascii="Century Gothic" w:hAnsi="Century Gothic"/>
          <w:i/>
          <w:iCs/>
          <w:sz w:val="21"/>
          <w:szCs w:val="21"/>
        </w:rPr>
        <w:t xml:space="preserve"> ustawy z dnia 16 kwietnia 2004 r. o ochronie przyrody, lub w otulinach form ochrony przyrody, o których mowa w </w:t>
      </w:r>
      <w:hyperlink r:id="rId8" w:anchor="/document/17091515?unitId=art(6)ust(1)pkt(1)" w:history="1">
        <w:r>
          <w:rPr>
            <w:rStyle w:val="Hipercze"/>
            <w:rFonts w:ascii="Century Gothic" w:eastAsiaTheme="majorEastAsia" w:hAnsi="Century Gothic"/>
            <w:i/>
            <w:iCs/>
            <w:sz w:val="21"/>
            <w:szCs w:val="21"/>
          </w:rPr>
          <w:t>art. 6 ust. 1 pkt 1-3</w:t>
        </w:r>
      </w:hyperlink>
      <w:r>
        <w:rPr>
          <w:rFonts w:ascii="Century Gothic" w:hAnsi="Century Gothic"/>
          <w:i/>
          <w:iCs/>
          <w:sz w:val="21"/>
          <w:szCs w:val="21"/>
        </w:rPr>
        <w:t xml:space="preserve"> tej ustawy.</w:t>
      </w:r>
    </w:p>
    <w:p w14:paraId="19ECE2E4" w14:textId="77777777" w:rsidR="002B0533" w:rsidRDefault="002B0533" w:rsidP="002B0533">
      <w:pPr>
        <w:pStyle w:val="Tekstpodstawowy"/>
        <w:spacing w:line="276" w:lineRule="auto"/>
        <w:ind w:right="-142"/>
        <w:rPr>
          <w:rFonts w:ascii="Century Gothic" w:hAnsi="Century Gothic"/>
          <w:bCs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7. W świetle powyższego organ właściwy do wydania decyzji o środowiskowych uwarunkowaniach stwierdził, że planowane przedsięwzięcie nie kwalifikuje się  </w:t>
      </w:r>
      <w:r>
        <w:rPr>
          <w:rFonts w:ascii="Century Gothic" w:hAnsi="Century Gothic"/>
          <w:sz w:val="21"/>
          <w:szCs w:val="21"/>
        </w:rPr>
        <w:br/>
        <w:t xml:space="preserve">do przedsięwzięć mogących znacząco oddziaływać na środowisko i zgodnie z art. 71 </w:t>
      </w:r>
      <w:r>
        <w:rPr>
          <w:rFonts w:ascii="Century Gothic" w:hAnsi="Century Gothic"/>
          <w:sz w:val="21"/>
          <w:szCs w:val="21"/>
        </w:rPr>
        <w:br/>
        <w:t xml:space="preserve">ust. 2 ustawy </w:t>
      </w:r>
      <w:proofErr w:type="spellStart"/>
      <w:r>
        <w:rPr>
          <w:rFonts w:ascii="Century Gothic" w:hAnsi="Century Gothic"/>
          <w:sz w:val="21"/>
          <w:szCs w:val="21"/>
        </w:rPr>
        <w:t>Ooś</w:t>
      </w:r>
      <w:proofErr w:type="spellEnd"/>
      <w:r>
        <w:rPr>
          <w:rFonts w:ascii="Century Gothic" w:hAnsi="Century Gothic"/>
          <w:sz w:val="21"/>
          <w:szCs w:val="21"/>
        </w:rPr>
        <w:t xml:space="preserve"> nie podlega obowiązkowi uzyskania decyzji o środowiskowych uwarunkowaniach.</w:t>
      </w:r>
    </w:p>
    <w:p w14:paraId="2FC90A10" w14:textId="77777777" w:rsidR="002B0533" w:rsidRDefault="002B0533" w:rsidP="002B0533">
      <w:pPr>
        <w:pStyle w:val="Tekstpodstawowy"/>
        <w:spacing w:line="276" w:lineRule="auto"/>
        <w:ind w:right="-142" w:firstLine="708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sz w:val="21"/>
          <w:szCs w:val="21"/>
        </w:rPr>
        <w:t xml:space="preserve">Wobec powyższego postepowanie stało się bezprzedmiotowe. Bezprzedmiotowość postepowania skutkuje wydaniem decyzji o umorzeniu postepowania w myśl art. 105 </w:t>
      </w:r>
      <w:r>
        <w:rPr>
          <w:rFonts w:ascii="Century Gothic" w:hAnsi="Century Gothic"/>
          <w:bCs/>
          <w:sz w:val="21"/>
          <w:szCs w:val="21"/>
        </w:rPr>
        <w:t xml:space="preserve">§ </w:t>
      </w:r>
      <w:r>
        <w:rPr>
          <w:rFonts w:ascii="Century Gothic" w:hAnsi="Century Gothic"/>
          <w:sz w:val="21"/>
          <w:szCs w:val="21"/>
        </w:rPr>
        <w:t>1 ustawy Kodeks postępowania administracyjnego .</w:t>
      </w:r>
    </w:p>
    <w:p w14:paraId="4E93DB5B" w14:textId="77777777" w:rsidR="002B0533" w:rsidRDefault="002B0533" w:rsidP="002B0533">
      <w:pPr>
        <w:pStyle w:val="Tekstpodstawowy"/>
        <w:spacing w:line="276" w:lineRule="auto"/>
        <w:ind w:right="-142" w:firstLine="708"/>
        <w:rPr>
          <w:rFonts w:ascii="Century Gothic" w:hAnsi="Century Gothic"/>
          <w:sz w:val="21"/>
          <w:szCs w:val="21"/>
        </w:rPr>
      </w:pPr>
    </w:p>
    <w:p w14:paraId="19532035" w14:textId="77777777" w:rsidR="002B0533" w:rsidRDefault="002B0533" w:rsidP="002B0533">
      <w:pPr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Pouczenie</w:t>
      </w:r>
    </w:p>
    <w:p w14:paraId="2507452E" w14:textId="77777777" w:rsidR="002B0533" w:rsidRDefault="002B0533" w:rsidP="002B0533">
      <w:pPr>
        <w:pStyle w:val="msonormalcxspdrugie"/>
        <w:numPr>
          <w:ilvl w:val="3"/>
          <w:numId w:val="2"/>
        </w:numPr>
        <w:suppressAutoHyphens/>
        <w:spacing w:before="0" w:beforeAutospacing="0" w:after="0" w:afterAutospacing="0"/>
        <w:ind w:left="425" w:hanging="357"/>
        <w:contextualSpacing/>
        <w:jc w:val="both"/>
        <w:rPr>
          <w:rFonts w:ascii="Century Gothic" w:hAnsi="Century Gothic" w:cstheme="minorHAnsi"/>
          <w:sz w:val="20"/>
          <w:szCs w:val="20"/>
          <w:lang w:eastAsia="ar-SA"/>
        </w:rPr>
      </w:pPr>
      <w:r>
        <w:rPr>
          <w:rFonts w:ascii="Century Gothic" w:hAnsi="Century Gothic" w:cstheme="minorHAnsi"/>
          <w:color w:val="000000"/>
          <w:sz w:val="20"/>
          <w:szCs w:val="20"/>
        </w:rPr>
        <w:t>Od niniejszej decyzji służy odwołanie do Samorządowego Kolegium Odwoławczego w   Poznaniu za pośrednictwem Wójta Gminy Gniezno w terminie 14 dni od dnia doręczenia niniejszej decyzji.</w:t>
      </w:r>
      <w:r>
        <w:rPr>
          <w:rFonts w:ascii="Century Gothic" w:hAnsi="Century Gothic" w:cstheme="minorHAnsi"/>
          <w:sz w:val="20"/>
          <w:szCs w:val="20"/>
          <w:lang w:eastAsia="ar-SA"/>
        </w:rPr>
        <w:t xml:space="preserve"> </w:t>
      </w:r>
    </w:p>
    <w:p w14:paraId="22F5CAD5" w14:textId="77777777" w:rsidR="002B0533" w:rsidRDefault="002B0533" w:rsidP="002B0533">
      <w:pPr>
        <w:pStyle w:val="msonormalcxspdrugie"/>
        <w:numPr>
          <w:ilvl w:val="3"/>
          <w:numId w:val="2"/>
        </w:numPr>
        <w:suppressAutoHyphens/>
        <w:spacing w:before="0" w:beforeAutospacing="0" w:after="0" w:afterAutospacing="0"/>
        <w:ind w:left="425" w:hanging="357"/>
        <w:contextualSpacing/>
        <w:jc w:val="both"/>
        <w:rPr>
          <w:rFonts w:ascii="Century Gothic" w:hAnsi="Century Gothic"/>
          <w:sz w:val="20"/>
          <w:szCs w:val="20"/>
          <w:lang w:eastAsia="ar-SA"/>
        </w:rPr>
      </w:pPr>
      <w:r>
        <w:rPr>
          <w:rFonts w:ascii="Century Gothic" w:hAnsi="Century Gothic" w:cstheme="minorHAnsi"/>
          <w:sz w:val="20"/>
          <w:szCs w:val="20"/>
        </w:rPr>
        <w:t>Przed upływem terminu do wniesienia</w:t>
      </w:r>
      <w:r>
        <w:rPr>
          <w:rFonts w:ascii="Century Gothic" w:hAnsi="Century Gothic" w:cstheme="minorHAnsi"/>
          <w:sz w:val="20"/>
          <w:szCs w:val="20"/>
          <w:lang w:eastAsia="ar-SA"/>
        </w:rPr>
        <w:t xml:space="preserve"> odwołania strona może zrzec się prawa do wniesienia odwołania </w:t>
      </w:r>
      <w:r>
        <w:rPr>
          <w:rFonts w:ascii="Century Gothic" w:hAnsi="Century Gothic" w:cstheme="minorHAnsi"/>
          <w:sz w:val="20"/>
          <w:szCs w:val="20"/>
        </w:rPr>
        <w:t xml:space="preserve">wobec organu administracji publicznej, który wydał decyzję </w:t>
      </w:r>
      <w:r>
        <w:rPr>
          <w:rFonts w:ascii="Century Gothic" w:hAnsi="Century Gothic" w:cstheme="minorHAnsi"/>
          <w:sz w:val="20"/>
          <w:szCs w:val="20"/>
          <w:lang w:eastAsia="ar-SA"/>
        </w:rPr>
        <w:t xml:space="preserve">- art. 127 a </w:t>
      </w:r>
      <w:r>
        <w:rPr>
          <w:rFonts w:ascii="Century Gothic" w:hAnsi="Century Gothic" w:cstheme="minorHAnsi"/>
          <w:color w:val="000000"/>
          <w:sz w:val="20"/>
          <w:szCs w:val="20"/>
        </w:rPr>
        <w:t>§ 1 k.p.a</w:t>
      </w:r>
      <w:r>
        <w:rPr>
          <w:rFonts w:ascii="Century Gothic" w:hAnsi="Century Gothic"/>
          <w:color w:val="000000"/>
          <w:sz w:val="20"/>
          <w:szCs w:val="20"/>
        </w:rPr>
        <w:t>.</w:t>
      </w:r>
    </w:p>
    <w:p w14:paraId="4A730E0B" w14:textId="77777777" w:rsidR="002B0533" w:rsidRDefault="002B0533" w:rsidP="002B0533">
      <w:pPr>
        <w:pStyle w:val="msonormalcxspdrugie"/>
        <w:numPr>
          <w:ilvl w:val="3"/>
          <w:numId w:val="2"/>
        </w:numPr>
        <w:suppressAutoHyphens/>
        <w:spacing w:before="0" w:beforeAutospacing="0" w:after="0" w:afterAutospacing="0"/>
        <w:ind w:left="425" w:hanging="357"/>
        <w:contextualSpacing/>
        <w:jc w:val="both"/>
        <w:rPr>
          <w:rFonts w:ascii="Century Gothic" w:hAnsi="Century Gothic"/>
          <w:sz w:val="20"/>
          <w:szCs w:val="20"/>
          <w:lang w:eastAsia="ar-SA"/>
        </w:rPr>
      </w:pPr>
      <w:r>
        <w:rPr>
          <w:rFonts w:ascii="Century Gothic" w:hAnsi="Century Gothic"/>
          <w:sz w:val="20"/>
          <w:szCs w:val="20"/>
        </w:rPr>
        <w:lastRenderedPageBreak/>
        <w:t>Z dniem doręczenia organowi administracji publicznej oświadczenia o zrzeczeniu się prawa do wniesienia odwołania przez ostatnią ze stron postępowania, decyzja staje się ostateczna i prawomocna.</w:t>
      </w:r>
    </w:p>
    <w:p w14:paraId="3AEE8C78" w14:textId="77777777" w:rsidR="002B0533" w:rsidRDefault="002B0533" w:rsidP="002B0533">
      <w:pPr>
        <w:pStyle w:val="msonormalcxspdrugie"/>
        <w:numPr>
          <w:ilvl w:val="3"/>
          <w:numId w:val="2"/>
        </w:numPr>
        <w:suppressAutoHyphens/>
        <w:spacing w:before="0" w:beforeAutospacing="0" w:after="0" w:afterAutospacing="0"/>
        <w:ind w:left="425" w:hanging="357"/>
        <w:contextualSpacing/>
        <w:jc w:val="both"/>
        <w:rPr>
          <w:rFonts w:ascii="Century Gothic" w:hAnsi="Century Gothic"/>
          <w:sz w:val="20"/>
          <w:szCs w:val="20"/>
          <w:lang w:eastAsia="ar-SA"/>
        </w:rPr>
      </w:pPr>
      <w:r>
        <w:rPr>
          <w:rFonts w:ascii="Century Gothic" w:hAnsi="Century Gothic"/>
          <w:sz w:val="20"/>
          <w:szCs w:val="20"/>
        </w:rPr>
        <w:t xml:space="preserve">W przypadku wymienionym w pkt. 2 i 3 odwołanie służyć nie będzie i decyzja stanie się ostateczna i prawomocna z dniem doręczenia organowi oświadczenia o zrzeczeniu się prawa do odwołania -  </w:t>
      </w:r>
      <w:r>
        <w:rPr>
          <w:rFonts w:ascii="Century Gothic" w:hAnsi="Century Gothic"/>
          <w:sz w:val="20"/>
          <w:szCs w:val="20"/>
          <w:lang w:eastAsia="ar-SA"/>
        </w:rPr>
        <w:t xml:space="preserve">art. 107 </w:t>
      </w:r>
      <w:r>
        <w:rPr>
          <w:rFonts w:ascii="Century Gothic" w:hAnsi="Century Gothic"/>
          <w:color w:val="000000"/>
          <w:sz w:val="20"/>
          <w:szCs w:val="20"/>
        </w:rPr>
        <w:t>§ 1 pkt. 7 k.p.a.</w:t>
      </w:r>
    </w:p>
    <w:p w14:paraId="6C8FB494" w14:textId="77777777" w:rsidR="002B0533" w:rsidRDefault="002B0533" w:rsidP="002B0533">
      <w:pPr>
        <w:pStyle w:val="msonormalcxspdrugie"/>
        <w:numPr>
          <w:ilvl w:val="3"/>
          <w:numId w:val="2"/>
        </w:numPr>
        <w:suppressAutoHyphens/>
        <w:spacing w:before="0" w:beforeAutospacing="0" w:after="0" w:afterAutospacing="0"/>
        <w:ind w:left="425" w:hanging="357"/>
        <w:contextualSpacing/>
        <w:jc w:val="both"/>
        <w:rPr>
          <w:rFonts w:ascii="Century Gothic" w:hAnsi="Century Gothic"/>
          <w:sz w:val="20"/>
          <w:szCs w:val="20"/>
          <w:lang w:eastAsia="ar-SA"/>
        </w:rPr>
      </w:pPr>
      <w:r>
        <w:rPr>
          <w:rFonts w:ascii="Century Gothic" w:hAnsi="Century Gothic"/>
          <w:sz w:val="20"/>
          <w:szCs w:val="20"/>
        </w:rPr>
        <w:t xml:space="preserve">Decyzja podlega wykonaniu przed upływem terminu do wniesienia odwołania, jeżeli jest zgodna z żądaniem wszystkich stron lub jeżeli wszystkie strony zrzekły się prawa do wniesienia odwołania. -  </w:t>
      </w:r>
      <w:r>
        <w:rPr>
          <w:rFonts w:ascii="Century Gothic" w:hAnsi="Century Gothic"/>
          <w:sz w:val="20"/>
          <w:szCs w:val="20"/>
          <w:lang w:eastAsia="ar-SA"/>
        </w:rPr>
        <w:t xml:space="preserve">art. 130 </w:t>
      </w:r>
      <w:r>
        <w:rPr>
          <w:rFonts w:ascii="Century Gothic" w:hAnsi="Century Gothic"/>
          <w:color w:val="000000"/>
          <w:sz w:val="20"/>
          <w:szCs w:val="20"/>
        </w:rPr>
        <w:t>§ 4 k.p.a.</w:t>
      </w:r>
    </w:p>
    <w:p w14:paraId="600F7B90" w14:textId="77777777" w:rsidR="002B0533" w:rsidRDefault="002B0533" w:rsidP="002B0533">
      <w:pPr>
        <w:rPr>
          <w:rFonts w:ascii="Century Gothic" w:hAnsi="Century Gothic"/>
          <w:b/>
          <w:bCs/>
          <w:sz w:val="16"/>
          <w:szCs w:val="16"/>
          <w:u w:val="single"/>
          <w:lang w:eastAsia="en-US"/>
        </w:rPr>
      </w:pPr>
    </w:p>
    <w:p w14:paraId="4D042F6F" w14:textId="77777777" w:rsidR="002B0533" w:rsidRDefault="002B0533" w:rsidP="002B0533">
      <w:pPr>
        <w:rPr>
          <w:rFonts w:ascii="Century Gothic" w:hAnsi="Century Gothic"/>
          <w:b/>
          <w:bCs/>
          <w:sz w:val="16"/>
          <w:szCs w:val="16"/>
          <w:u w:val="single"/>
          <w:lang w:eastAsia="en-US"/>
        </w:rPr>
      </w:pPr>
    </w:p>
    <w:p w14:paraId="349C9349" w14:textId="77777777" w:rsidR="002B0533" w:rsidRDefault="002B0533" w:rsidP="002B0533">
      <w:pPr>
        <w:rPr>
          <w:rFonts w:ascii="Century Gothic" w:hAnsi="Century Gothic"/>
          <w:b/>
          <w:bCs/>
          <w:sz w:val="16"/>
          <w:szCs w:val="16"/>
          <w:u w:val="single"/>
          <w:lang w:eastAsia="en-US"/>
        </w:rPr>
      </w:pPr>
    </w:p>
    <w:p w14:paraId="75CB28D0" w14:textId="77777777" w:rsidR="002B0533" w:rsidRDefault="002B0533" w:rsidP="002B0533">
      <w:pPr>
        <w:rPr>
          <w:rFonts w:ascii="Century Gothic" w:hAnsi="Century Gothic"/>
          <w:b/>
          <w:bCs/>
          <w:sz w:val="16"/>
          <w:szCs w:val="16"/>
          <w:u w:val="single"/>
          <w:lang w:eastAsia="en-US"/>
        </w:rPr>
      </w:pPr>
    </w:p>
    <w:p w14:paraId="0DE9B6D7" w14:textId="77777777" w:rsidR="002B0533" w:rsidRDefault="002B0533" w:rsidP="002B0533">
      <w:pPr>
        <w:rPr>
          <w:rFonts w:ascii="Century Gothic" w:hAnsi="Century Gothic"/>
          <w:b/>
          <w:bCs/>
          <w:sz w:val="16"/>
          <w:szCs w:val="16"/>
          <w:u w:val="single"/>
          <w:lang w:eastAsia="en-US"/>
        </w:rPr>
      </w:pPr>
    </w:p>
    <w:p w14:paraId="5A181292" w14:textId="77777777" w:rsidR="002B0533" w:rsidRDefault="002B0533" w:rsidP="002B0533">
      <w:pPr>
        <w:rPr>
          <w:rFonts w:ascii="Century Gothic" w:hAnsi="Century Gothic"/>
          <w:b/>
          <w:bCs/>
          <w:sz w:val="16"/>
          <w:szCs w:val="16"/>
          <w:u w:val="single"/>
          <w:lang w:eastAsia="en-US"/>
        </w:rPr>
      </w:pPr>
    </w:p>
    <w:p w14:paraId="688D5B48" w14:textId="77777777" w:rsidR="002B0533" w:rsidRDefault="002B0533" w:rsidP="002B0533">
      <w:pPr>
        <w:rPr>
          <w:rFonts w:ascii="Century Gothic" w:hAnsi="Century Gothic"/>
          <w:b/>
          <w:bCs/>
          <w:sz w:val="16"/>
          <w:szCs w:val="16"/>
          <w:u w:val="single"/>
          <w:lang w:eastAsia="en-US"/>
        </w:rPr>
      </w:pPr>
    </w:p>
    <w:p w14:paraId="11F3B6BF" w14:textId="77777777" w:rsidR="002B0533" w:rsidRDefault="002B0533" w:rsidP="002B0533">
      <w:pPr>
        <w:rPr>
          <w:rFonts w:ascii="Century Gothic" w:hAnsi="Century Gothic"/>
          <w:b/>
          <w:bCs/>
          <w:sz w:val="16"/>
          <w:szCs w:val="16"/>
          <w:u w:val="single"/>
          <w:lang w:eastAsia="en-US"/>
        </w:rPr>
      </w:pPr>
    </w:p>
    <w:p w14:paraId="4DB66BD7" w14:textId="77777777" w:rsidR="002B0533" w:rsidRDefault="002B0533" w:rsidP="002B0533">
      <w:pPr>
        <w:rPr>
          <w:rFonts w:ascii="Century Gothic" w:hAnsi="Century Gothic"/>
          <w:b/>
          <w:bCs/>
          <w:sz w:val="16"/>
          <w:szCs w:val="16"/>
          <w:u w:val="single"/>
          <w:lang w:eastAsia="en-US"/>
        </w:rPr>
      </w:pPr>
    </w:p>
    <w:p w14:paraId="6A54089F" w14:textId="77777777" w:rsidR="002B0533" w:rsidRDefault="002B0533" w:rsidP="002B0533">
      <w:pPr>
        <w:rPr>
          <w:rFonts w:ascii="Century Gothic" w:hAnsi="Century Gothic"/>
          <w:b/>
          <w:bCs/>
          <w:sz w:val="16"/>
          <w:szCs w:val="16"/>
          <w:u w:val="single"/>
          <w:lang w:eastAsia="en-US"/>
        </w:rPr>
      </w:pPr>
    </w:p>
    <w:p w14:paraId="34DB9CB8" w14:textId="77777777" w:rsidR="002B0533" w:rsidRDefault="002B0533" w:rsidP="002B0533">
      <w:pPr>
        <w:rPr>
          <w:rFonts w:ascii="Century Gothic" w:hAnsi="Century Gothic"/>
          <w:b/>
          <w:bCs/>
          <w:sz w:val="16"/>
          <w:szCs w:val="16"/>
          <w:u w:val="single"/>
          <w:lang w:eastAsia="en-US"/>
        </w:rPr>
      </w:pPr>
    </w:p>
    <w:p w14:paraId="68181A54" w14:textId="77777777" w:rsidR="002B0533" w:rsidRDefault="002B0533" w:rsidP="002B0533">
      <w:pPr>
        <w:rPr>
          <w:rFonts w:ascii="Century Gothic" w:hAnsi="Century Gothic"/>
          <w:b/>
          <w:bCs/>
          <w:sz w:val="16"/>
          <w:szCs w:val="16"/>
          <w:u w:val="single"/>
          <w:lang w:eastAsia="en-US"/>
        </w:rPr>
      </w:pPr>
    </w:p>
    <w:p w14:paraId="7FB70066" w14:textId="77777777" w:rsidR="002B0533" w:rsidRDefault="002B0533" w:rsidP="002B0533">
      <w:pPr>
        <w:rPr>
          <w:rFonts w:ascii="Century Gothic" w:hAnsi="Century Gothic"/>
          <w:b/>
          <w:bCs/>
          <w:sz w:val="16"/>
          <w:szCs w:val="16"/>
          <w:u w:val="single"/>
          <w:lang w:eastAsia="en-US"/>
        </w:rPr>
      </w:pPr>
    </w:p>
    <w:p w14:paraId="2A973ADF" w14:textId="77777777" w:rsidR="002B0533" w:rsidRDefault="002B0533" w:rsidP="002B0533">
      <w:pPr>
        <w:rPr>
          <w:rFonts w:ascii="Century Gothic" w:hAnsi="Century Gothic"/>
          <w:b/>
          <w:bCs/>
          <w:sz w:val="16"/>
          <w:szCs w:val="16"/>
          <w:u w:val="single"/>
          <w:lang w:eastAsia="en-US"/>
        </w:rPr>
      </w:pPr>
    </w:p>
    <w:p w14:paraId="06BA538F" w14:textId="77777777" w:rsidR="002B0533" w:rsidRDefault="002B0533" w:rsidP="002B0533">
      <w:pPr>
        <w:rPr>
          <w:rFonts w:ascii="Century Gothic" w:hAnsi="Century Gothic"/>
          <w:b/>
          <w:bCs/>
          <w:sz w:val="16"/>
          <w:szCs w:val="16"/>
          <w:u w:val="single"/>
          <w:lang w:eastAsia="en-US"/>
        </w:rPr>
      </w:pPr>
    </w:p>
    <w:p w14:paraId="3524408F" w14:textId="77777777" w:rsidR="002B0533" w:rsidRDefault="002B0533" w:rsidP="002B0533">
      <w:pPr>
        <w:rPr>
          <w:rFonts w:ascii="Century Gothic" w:hAnsi="Century Gothic"/>
          <w:b/>
          <w:bCs/>
          <w:sz w:val="16"/>
          <w:szCs w:val="16"/>
          <w:u w:val="single"/>
          <w:lang w:eastAsia="en-US"/>
        </w:rPr>
      </w:pPr>
    </w:p>
    <w:p w14:paraId="4ACD7CD9" w14:textId="77777777" w:rsidR="002B0533" w:rsidRDefault="002B0533" w:rsidP="002B0533">
      <w:pPr>
        <w:rPr>
          <w:rFonts w:ascii="Century Gothic" w:hAnsi="Century Gothic"/>
          <w:b/>
          <w:bCs/>
          <w:sz w:val="16"/>
          <w:szCs w:val="16"/>
          <w:u w:val="single"/>
          <w:lang w:eastAsia="en-US"/>
        </w:rPr>
      </w:pPr>
    </w:p>
    <w:p w14:paraId="483B74F0" w14:textId="77777777" w:rsidR="002B0533" w:rsidRDefault="002B0533" w:rsidP="002B0533">
      <w:pPr>
        <w:rPr>
          <w:rFonts w:ascii="Century Gothic" w:hAnsi="Century Gothic"/>
          <w:b/>
          <w:bCs/>
          <w:sz w:val="16"/>
          <w:szCs w:val="16"/>
          <w:u w:val="single"/>
          <w:lang w:eastAsia="en-US"/>
        </w:rPr>
      </w:pPr>
    </w:p>
    <w:p w14:paraId="2C01E871" w14:textId="77777777" w:rsidR="002B0533" w:rsidRDefault="002B0533" w:rsidP="002B0533">
      <w:pPr>
        <w:rPr>
          <w:rFonts w:ascii="Century Gothic" w:hAnsi="Century Gothic"/>
          <w:b/>
          <w:bCs/>
          <w:sz w:val="16"/>
          <w:szCs w:val="16"/>
          <w:u w:val="single"/>
          <w:lang w:eastAsia="en-US"/>
        </w:rPr>
      </w:pPr>
    </w:p>
    <w:p w14:paraId="603EF4F1" w14:textId="77777777" w:rsidR="002B0533" w:rsidRDefault="002B0533" w:rsidP="002B0533">
      <w:pPr>
        <w:rPr>
          <w:rFonts w:ascii="Century Gothic" w:hAnsi="Century Gothic"/>
          <w:b/>
          <w:bCs/>
          <w:sz w:val="16"/>
          <w:szCs w:val="16"/>
          <w:u w:val="single"/>
          <w:lang w:eastAsia="en-US"/>
        </w:rPr>
      </w:pPr>
    </w:p>
    <w:p w14:paraId="6A479CBC" w14:textId="77777777" w:rsidR="002B0533" w:rsidRDefault="002B0533" w:rsidP="002B0533">
      <w:pPr>
        <w:rPr>
          <w:rFonts w:ascii="Century Gothic" w:hAnsi="Century Gothic"/>
          <w:b/>
          <w:bCs/>
          <w:sz w:val="16"/>
          <w:szCs w:val="16"/>
          <w:u w:val="single"/>
          <w:lang w:eastAsia="en-US"/>
        </w:rPr>
      </w:pPr>
    </w:p>
    <w:p w14:paraId="5854DAAC" w14:textId="77777777" w:rsidR="002B0533" w:rsidRDefault="002B0533" w:rsidP="002B0533">
      <w:pPr>
        <w:rPr>
          <w:rFonts w:ascii="Century Gothic" w:hAnsi="Century Gothic"/>
          <w:b/>
          <w:bCs/>
          <w:sz w:val="16"/>
          <w:szCs w:val="16"/>
          <w:u w:val="single"/>
          <w:lang w:eastAsia="en-US"/>
        </w:rPr>
      </w:pPr>
    </w:p>
    <w:p w14:paraId="4A55D46C" w14:textId="77777777" w:rsidR="002B0533" w:rsidRDefault="002B0533" w:rsidP="002B0533">
      <w:pPr>
        <w:rPr>
          <w:rFonts w:ascii="Century Gothic" w:hAnsi="Century Gothic"/>
          <w:b/>
          <w:bCs/>
          <w:sz w:val="16"/>
          <w:szCs w:val="16"/>
          <w:u w:val="single"/>
          <w:lang w:eastAsia="en-US"/>
        </w:rPr>
      </w:pPr>
    </w:p>
    <w:p w14:paraId="59C30834" w14:textId="77777777" w:rsidR="002B0533" w:rsidRDefault="002B0533" w:rsidP="002B0533">
      <w:pPr>
        <w:rPr>
          <w:rFonts w:ascii="Century Gothic" w:hAnsi="Century Gothic"/>
          <w:b/>
          <w:bCs/>
          <w:sz w:val="16"/>
          <w:szCs w:val="16"/>
          <w:u w:val="single"/>
          <w:lang w:eastAsia="en-US"/>
        </w:rPr>
      </w:pPr>
    </w:p>
    <w:p w14:paraId="2A1E8BFB" w14:textId="77777777" w:rsidR="002B0533" w:rsidRDefault="002B0533" w:rsidP="002B0533">
      <w:pPr>
        <w:rPr>
          <w:rFonts w:ascii="Century Gothic" w:hAnsi="Century Gothic"/>
          <w:b/>
          <w:bCs/>
          <w:sz w:val="16"/>
          <w:szCs w:val="16"/>
          <w:u w:val="single"/>
          <w:lang w:eastAsia="en-US"/>
        </w:rPr>
      </w:pPr>
    </w:p>
    <w:p w14:paraId="70ECF4E5" w14:textId="77777777" w:rsidR="002B0533" w:rsidRDefault="002B0533" w:rsidP="002B0533">
      <w:pPr>
        <w:rPr>
          <w:rFonts w:ascii="Century Gothic" w:hAnsi="Century Gothic"/>
          <w:b/>
          <w:bCs/>
          <w:sz w:val="16"/>
          <w:szCs w:val="16"/>
          <w:u w:val="single"/>
          <w:lang w:eastAsia="en-US"/>
        </w:rPr>
      </w:pPr>
    </w:p>
    <w:p w14:paraId="4D7BF7CA" w14:textId="77777777" w:rsidR="002B0533" w:rsidRDefault="002B0533" w:rsidP="002B0533">
      <w:pPr>
        <w:rPr>
          <w:rFonts w:ascii="Century Gothic" w:hAnsi="Century Gothic"/>
          <w:b/>
          <w:bCs/>
          <w:sz w:val="16"/>
          <w:szCs w:val="16"/>
          <w:u w:val="single"/>
          <w:lang w:eastAsia="en-US"/>
        </w:rPr>
      </w:pPr>
    </w:p>
    <w:p w14:paraId="27DDF14D" w14:textId="77777777" w:rsidR="002B0533" w:rsidRDefault="002B0533" w:rsidP="002B0533">
      <w:pPr>
        <w:rPr>
          <w:rFonts w:ascii="Century Gothic" w:hAnsi="Century Gothic"/>
          <w:b/>
          <w:bCs/>
          <w:sz w:val="16"/>
          <w:szCs w:val="16"/>
          <w:u w:val="single"/>
          <w:lang w:eastAsia="en-US"/>
        </w:rPr>
      </w:pPr>
    </w:p>
    <w:p w14:paraId="087EE68D" w14:textId="77777777" w:rsidR="002B0533" w:rsidRDefault="002B0533" w:rsidP="002B0533">
      <w:pPr>
        <w:rPr>
          <w:rFonts w:ascii="Century Gothic" w:hAnsi="Century Gothic"/>
          <w:b/>
          <w:bCs/>
          <w:sz w:val="16"/>
          <w:szCs w:val="16"/>
          <w:u w:val="single"/>
          <w:lang w:eastAsia="en-US"/>
        </w:rPr>
      </w:pPr>
    </w:p>
    <w:p w14:paraId="075F5EF5" w14:textId="77777777" w:rsidR="002B0533" w:rsidRDefault="002B0533" w:rsidP="002B0533">
      <w:pPr>
        <w:rPr>
          <w:rFonts w:ascii="Century Gothic" w:hAnsi="Century Gothic"/>
          <w:b/>
          <w:bCs/>
          <w:sz w:val="16"/>
          <w:szCs w:val="16"/>
          <w:u w:val="single"/>
          <w:lang w:eastAsia="en-US"/>
        </w:rPr>
      </w:pPr>
    </w:p>
    <w:p w14:paraId="70CA852A" w14:textId="77777777" w:rsidR="002B0533" w:rsidRDefault="002B0533" w:rsidP="002B0533">
      <w:pPr>
        <w:rPr>
          <w:rFonts w:ascii="Century Gothic" w:hAnsi="Century Gothic"/>
          <w:b/>
          <w:bCs/>
          <w:sz w:val="16"/>
          <w:szCs w:val="16"/>
          <w:u w:val="single"/>
          <w:lang w:eastAsia="en-US"/>
        </w:rPr>
      </w:pPr>
    </w:p>
    <w:p w14:paraId="246383E3" w14:textId="77777777" w:rsidR="002B0533" w:rsidRDefault="002B0533" w:rsidP="002B0533">
      <w:pPr>
        <w:rPr>
          <w:rFonts w:ascii="Century Gothic" w:hAnsi="Century Gothic"/>
          <w:b/>
          <w:bCs/>
          <w:sz w:val="16"/>
          <w:szCs w:val="16"/>
          <w:u w:val="single"/>
          <w:lang w:eastAsia="en-US"/>
        </w:rPr>
      </w:pPr>
    </w:p>
    <w:p w14:paraId="18C75709" w14:textId="77777777" w:rsidR="002B0533" w:rsidRDefault="002B0533" w:rsidP="002B0533">
      <w:pPr>
        <w:rPr>
          <w:rFonts w:ascii="Century Gothic" w:hAnsi="Century Gothic"/>
          <w:b/>
          <w:bCs/>
          <w:sz w:val="16"/>
          <w:szCs w:val="16"/>
          <w:u w:val="single"/>
          <w:lang w:eastAsia="en-US"/>
        </w:rPr>
      </w:pPr>
    </w:p>
    <w:p w14:paraId="3262B742" w14:textId="77777777" w:rsidR="002B0533" w:rsidRDefault="002B0533" w:rsidP="002B0533">
      <w:pPr>
        <w:rPr>
          <w:rFonts w:ascii="Century Gothic" w:hAnsi="Century Gothic"/>
          <w:b/>
          <w:bCs/>
          <w:sz w:val="16"/>
          <w:szCs w:val="16"/>
          <w:u w:val="single"/>
          <w:lang w:eastAsia="en-US"/>
        </w:rPr>
      </w:pPr>
    </w:p>
    <w:p w14:paraId="101D214B" w14:textId="77777777" w:rsidR="002B0533" w:rsidRDefault="002B0533" w:rsidP="002B0533">
      <w:pPr>
        <w:rPr>
          <w:rFonts w:ascii="Century Gothic" w:hAnsi="Century Gothic"/>
          <w:b/>
          <w:bCs/>
          <w:sz w:val="16"/>
          <w:szCs w:val="16"/>
          <w:u w:val="single"/>
          <w:lang w:eastAsia="en-US"/>
        </w:rPr>
      </w:pPr>
    </w:p>
    <w:p w14:paraId="4892E435" w14:textId="77777777" w:rsidR="002B0533" w:rsidRDefault="002B0533" w:rsidP="002B0533">
      <w:pPr>
        <w:rPr>
          <w:rFonts w:ascii="Century Gothic" w:hAnsi="Century Gothic"/>
          <w:b/>
          <w:bCs/>
          <w:sz w:val="16"/>
          <w:szCs w:val="16"/>
          <w:u w:val="single"/>
          <w:lang w:eastAsia="en-US"/>
        </w:rPr>
      </w:pPr>
    </w:p>
    <w:p w14:paraId="4649944E" w14:textId="77777777" w:rsidR="002B0533" w:rsidRDefault="002B0533" w:rsidP="002B0533">
      <w:pPr>
        <w:rPr>
          <w:rFonts w:ascii="Century Gothic" w:hAnsi="Century Gothic"/>
          <w:b/>
          <w:bCs/>
          <w:sz w:val="16"/>
          <w:szCs w:val="16"/>
          <w:u w:val="single"/>
          <w:lang w:eastAsia="en-US"/>
        </w:rPr>
      </w:pPr>
      <w:r>
        <w:rPr>
          <w:rFonts w:ascii="Century Gothic" w:hAnsi="Century Gothic"/>
          <w:b/>
          <w:bCs/>
          <w:sz w:val="16"/>
          <w:szCs w:val="16"/>
          <w:u w:val="single"/>
          <w:lang w:eastAsia="en-US"/>
        </w:rPr>
        <w:t>Otrzymują:</w:t>
      </w:r>
    </w:p>
    <w:p w14:paraId="0FCB4004" w14:textId="77777777" w:rsidR="002B0533" w:rsidRDefault="002B0533" w:rsidP="002B0533">
      <w:pPr>
        <w:numPr>
          <w:ilvl w:val="0"/>
          <w:numId w:val="3"/>
        </w:numPr>
        <w:shd w:val="clear" w:color="auto" w:fill="FFFFFF"/>
        <w:jc w:val="both"/>
        <w:rPr>
          <w:rFonts w:ascii="Century Gothic" w:hAnsi="Century Gothic"/>
          <w:sz w:val="16"/>
          <w:szCs w:val="16"/>
          <w:lang w:eastAsia="en-US"/>
        </w:rPr>
      </w:pPr>
      <w:r>
        <w:rPr>
          <w:rFonts w:ascii="Century Gothic" w:hAnsi="Century Gothic"/>
          <w:sz w:val="16"/>
          <w:szCs w:val="16"/>
          <w:lang w:eastAsia="en-US"/>
        </w:rPr>
        <w:t xml:space="preserve">Strony postępowania administracyjnego wg rozdzielnika </w:t>
      </w:r>
    </w:p>
    <w:p w14:paraId="03639E77" w14:textId="77777777" w:rsidR="002B0533" w:rsidRDefault="002B0533" w:rsidP="002B0533">
      <w:pPr>
        <w:numPr>
          <w:ilvl w:val="0"/>
          <w:numId w:val="3"/>
        </w:numPr>
        <w:shd w:val="clear" w:color="auto" w:fill="FFFFFF"/>
        <w:jc w:val="both"/>
        <w:rPr>
          <w:rFonts w:ascii="Century Gothic" w:hAnsi="Century Gothic"/>
          <w:sz w:val="16"/>
          <w:szCs w:val="16"/>
          <w:lang w:eastAsia="en-US"/>
        </w:rPr>
      </w:pPr>
      <w:r>
        <w:rPr>
          <w:rFonts w:ascii="Century Gothic" w:hAnsi="Century Gothic"/>
          <w:sz w:val="16"/>
          <w:szCs w:val="16"/>
          <w:lang w:eastAsia="en-US"/>
        </w:rPr>
        <w:t>a/a (sprawę prowadzi Rafał Skweres – tel. 61 424 57 66)</w:t>
      </w:r>
    </w:p>
    <w:p w14:paraId="1FC2F9DF" w14:textId="77777777" w:rsidR="002B0533" w:rsidRDefault="002B0533" w:rsidP="002B0533">
      <w:pPr>
        <w:rPr>
          <w:rFonts w:ascii="Century Gothic" w:hAnsi="Century Gothic"/>
          <w:b/>
          <w:bCs/>
          <w:sz w:val="16"/>
          <w:szCs w:val="16"/>
          <w:u w:val="single"/>
          <w:lang w:eastAsia="en-US"/>
        </w:rPr>
      </w:pPr>
      <w:r>
        <w:rPr>
          <w:rFonts w:ascii="Century Gothic" w:hAnsi="Century Gothic"/>
          <w:b/>
          <w:bCs/>
          <w:sz w:val="16"/>
          <w:szCs w:val="16"/>
          <w:u w:val="single"/>
          <w:lang w:eastAsia="en-US"/>
        </w:rPr>
        <w:t>Do wiadomości:</w:t>
      </w:r>
    </w:p>
    <w:p w14:paraId="15F8B429" w14:textId="77777777" w:rsidR="002B0533" w:rsidRDefault="002B0533" w:rsidP="002B0533">
      <w:pPr>
        <w:numPr>
          <w:ilvl w:val="0"/>
          <w:numId w:val="4"/>
        </w:num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Regionalny Dyrektor Ochrony Środowiska w Poznaniu, ul. Kościuszki 57, 61-891 Poznań</w:t>
      </w:r>
    </w:p>
    <w:p w14:paraId="01243BB3" w14:textId="77777777" w:rsidR="002B0533" w:rsidRDefault="002B0533" w:rsidP="002B0533">
      <w:pPr>
        <w:numPr>
          <w:ilvl w:val="0"/>
          <w:numId w:val="4"/>
        </w:num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Państwowy Powiatowy Inspektor Sanitarny w Gnieźnie, ul. Św. Wawrzyńca 18, 62-200 Gniezno</w:t>
      </w:r>
    </w:p>
    <w:p w14:paraId="6612FB58" w14:textId="77777777" w:rsidR="002B0533" w:rsidRDefault="002B0533" w:rsidP="002B0533">
      <w:pPr>
        <w:numPr>
          <w:ilvl w:val="0"/>
          <w:numId w:val="4"/>
        </w:numPr>
        <w:jc w:val="both"/>
        <w:rPr>
          <w:rFonts w:ascii="Century Gothic" w:hAnsi="Century Gothic"/>
          <w:sz w:val="16"/>
          <w:szCs w:val="16"/>
          <w:lang w:eastAsia="en-US"/>
        </w:rPr>
      </w:pPr>
      <w:r>
        <w:rPr>
          <w:rFonts w:ascii="Century Gothic" w:hAnsi="Century Gothic"/>
          <w:sz w:val="16"/>
          <w:szCs w:val="16"/>
        </w:rPr>
        <w:t>Dyrektor Zarządu Zlewni Wód Polskich w Poznaniu, ul. Szewska 1, 61-760 Poznań</w:t>
      </w:r>
    </w:p>
    <w:p w14:paraId="01415D74" w14:textId="77777777" w:rsidR="002B0533" w:rsidRDefault="002B0533" w:rsidP="002B0533">
      <w:pPr>
        <w:rPr>
          <w:b/>
          <w:sz w:val="24"/>
          <w:szCs w:val="24"/>
          <w:u w:val="single"/>
        </w:rPr>
      </w:pPr>
    </w:p>
    <w:p w14:paraId="43AADB18" w14:textId="77777777" w:rsidR="002B0533" w:rsidRDefault="002B0533" w:rsidP="002B0533">
      <w:pPr>
        <w:shd w:val="clear" w:color="auto" w:fill="FFFFFF"/>
        <w:spacing w:line="278" w:lineRule="exact"/>
        <w:jc w:val="center"/>
        <w:rPr>
          <w:rFonts w:ascii="Century Gothic" w:hAnsi="Century Gothic"/>
          <w:b/>
          <w:sz w:val="21"/>
          <w:szCs w:val="21"/>
        </w:rPr>
      </w:pPr>
    </w:p>
    <w:p w14:paraId="0CA40B27" w14:textId="77777777" w:rsidR="002B0533" w:rsidRDefault="002B0533" w:rsidP="002B0533">
      <w:pPr>
        <w:shd w:val="clear" w:color="auto" w:fill="FFFFFF"/>
        <w:spacing w:line="278" w:lineRule="exact"/>
        <w:jc w:val="center"/>
        <w:rPr>
          <w:rFonts w:ascii="Century Gothic" w:hAnsi="Century Gothic"/>
          <w:b/>
          <w:sz w:val="21"/>
          <w:szCs w:val="21"/>
        </w:rPr>
      </w:pPr>
    </w:p>
    <w:p w14:paraId="0C4C9789" w14:textId="77777777" w:rsidR="002B0533" w:rsidRDefault="002B0533" w:rsidP="002B0533">
      <w:pPr>
        <w:shd w:val="clear" w:color="auto" w:fill="FFFFFF"/>
        <w:spacing w:line="278" w:lineRule="exact"/>
        <w:jc w:val="center"/>
        <w:rPr>
          <w:rFonts w:ascii="Century Gothic" w:hAnsi="Century Gothic"/>
          <w:b/>
          <w:sz w:val="21"/>
          <w:szCs w:val="21"/>
        </w:rPr>
      </w:pPr>
    </w:p>
    <w:p w14:paraId="715E175E" w14:textId="77777777" w:rsidR="002B0533" w:rsidRDefault="002B0533" w:rsidP="002B0533">
      <w:pPr>
        <w:shd w:val="clear" w:color="auto" w:fill="FFFFFF"/>
        <w:spacing w:line="278" w:lineRule="exact"/>
        <w:jc w:val="center"/>
        <w:rPr>
          <w:rFonts w:ascii="Century Gothic" w:hAnsi="Century Gothic"/>
          <w:b/>
          <w:sz w:val="21"/>
          <w:szCs w:val="21"/>
        </w:rPr>
      </w:pPr>
    </w:p>
    <w:p w14:paraId="41B35E9E" w14:textId="77777777" w:rsidR="002B0533" w:rsidRDefault="002B0533" w:rsidP="002B0533">
      <w:pPr>
        <w:shd w:val="clear" w:color="auto" w:fill="FFFFFF"/>
        <w:spacing w:line="278" w:lineRule="exact"/>
        <w:jc w:val="center"/>
        <w:rPr>
          <w:rFonts w:ascii="Century Gothic" w:hAnsi="Century Gothic"/>
          <w:b/>
          <w:sz w:val="21"/>
          <w:szCs w:val="21"/>
        </w:rPr>
      </w:pPr>
    </w:p>
    <w:p w14:paraId="0E412298" w14:textId="77777777" w:rsidR="00EE1F09" w:rsidRDefault="00EE1F09"/>
    <w:sectPr w:rsidR="00EE1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5406D"/>
    <w:multiLevelType w:val="hybridMultilevel"/>
    <w:tmpl w:val="C70CAA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51403"/>
    <w:multiLevelType w:val="hybridMultilevel"/>
    <w:tmpl w:val="3300F9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48320956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5764BB"/>
    <w:multiLevelType w:val="hybridMultilevel"/>
    <w:tmpl w:val="35740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97EAD"/>
    <w:multiLevelType w:val="hybridMultilevel"/>
    <w:tmpl w:val="25768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60836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139215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15543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18240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533"/>
    <w:rsid w:val="002B0533"/>
    <w:rsid w:val="00672300"/>
    <w:rsid w:val="00CE7316"/>
    <w:rsid w:val="00EE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2D8A6"/>
  <w15:chartTrackingRefBased/>
  <w15:docId w15:val="{A949C0EE-4B65-4EC2-9503-31C0C069A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053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0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0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2B05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0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05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2B05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05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05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05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05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05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semiHidden/>
    <w:rsid w:val="002B05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05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05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semiHidden/>
    <w:rsid w:val="002B05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05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05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05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05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0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0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0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0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05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05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05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05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05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0533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2B0533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2B0533"/>
    <w:pPr>
      <w:jc w:val="both"/>
    </w:pPr>
    <w:rPr>
      <w:rFonts w:ascii="Arial" w:hAnsi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B0533"/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paragraph" w:customStyle="1" w:styleId="msonormalcxspdrugie">
    <w:name w:val="msonormalcxspdrugie"/>
    <w:basedOn w:val="Normalny"/>
    <w:rsid w:val="002B053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1545</Words>
  <Characters>9270</Characters>
  <Application>Microsoft Office Word</Application>
  <DocSecurity>0</DocSecurity>
  <Lines>77</Lines>
  <Paragraphs>21</Paragraphs>
  <ScaleCrop>false</ScaleCrop>
  <Company/>
  <LinksUpToDate>false</LinksUpToDate>
  <CharactersWithSpaces>10794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1</cp:revision>
  <dcterms:created xsi:type="dcterms:W3CDTF">2025-07-09T07:04:00Z</dcterms:created>
  <dcterms:modified xsi:type="dcterms:W3CDTF">2025-07-09T07:05:00Z</dcterms:modified>
</cp:coreProperties>
</file>