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87E5F" w14:textId="77777777" w:rsidR="00F71610" w:rsidRDefault="00F71610" w:rsidP="00F71610">
      <w:pPr>
        <w:keepNext/>
        <w:keepLines/>
        <w:spacing w:before="40" w:line="276" w:lineRule="auto"/>
        <w:jc w:val="right"/>
        <w:outlineLvl w:val="4"/>
        <w:rPr>
          <w:rFonts w:ascii="Century Gothic" w:hAnsi="Century Gothic"/>
        </w:rPr>
      </w:pPr>
      <w:r>
        <w:rPr>
          <w:rFonts w:ascii="Century Gothic" w:hAnsi="Century Gothic"/>
        </w:rPr>
        <w:t>Gniezno, dnia 24 kwietnia 2026 r.</w:t>
      </w:r>
    </w:p>
    <w:p w14:paraId="3474DFE0" w14:textId="77777777" w:rsidR="00F71610" w:rsidRDefault="00F71610" w:rsidP="00F71610">
      <w:pPr>
        <w:keepNext/>
        <w:keepLines/>
        <w:spacing w:before="40" w:line="276" w:lineRule="auto"/>
        <w:outlineLvl w:val="5"/>
        <w:rPr>
          <w:rFonts w:ascii="Century Gothic" w:hAnsi="Century Gothic"/>
        </w:rPr>
      </w:pPr>
      <w:r>
        <w:rPr>
          <w:rFonts w:ascii="Century Gothic" w:hAnsi="Century Gothic"/>
        </w:rPr>
        <w:t>OŚR. 6220.1.2026</w:t>
      </w:r>
    </w:p>
    <w:p w14:paraId="02BD544B" w14:textId="77777777" w:rsidR="00F71610" w:rsidRDefault="00F71610" w:rsidP="00F71610">
      <w:pPr>
        <w:tabs>
          <w:tab w:val="left" w:pos="426"/>
        </w:tabs>
        <w:spacing w:after="160" w:line="276" w:lineRule="auto"/>
        <w:jc w:val="center"/>
        <w:rPr>
          <w:rFonts w:ascii="Century Gothic" w:hAnsi="Century Gothic"/>
          <w:b/>
          <w:sz w:val="21"/>
          <w:szCs w:val="21"/>
          <w:u w:val="single"/>
          <w:lang w:eastAsia="en-US"/>
        </w:rPr>
      </w:pPr>
      <w:r>
        <w:rPr>
          <w:rFonts w:ascii="Century Gothic" w:hAnsi="Century Gothic"/>
          <w:b/>
          <w:sz w:val="21"/>
          <w:szCs w:val="21"/>
          <w:u w:val="single"/>
          <w:lang w:eastAsia="en-US"/>
        </w:rPr>
        <w:t>OBWIESZCZENIE</w:t>
      </w:r>
    </w:p>
    <w:p w14:paraId="34577266" w14:textId="77777777" w:rsidR="00F71610" w:rsidRDefault="00F71610" w:rsidP="00F71610">
      <w:pPr>
        <w:spacing w:line="276" w:lineRule="auto"/>
        <w:jc w:val="both"/>
        <w:rPr>
          <w:rFonts w:ascii="Century Gothic" w:hAnsi="Century Gothic" w:cs="Calibri"/>
          <w:b/>
          <w:bCs/>
          <w:lang w:eastAsia="en-US"/>
        </w:rPr>
      </w:pPr>
      <w:r>
        <w:rPr>
          <w:rFonts w:ascii="Century Gothic" w:hAnsi="Century Gothic" w:cs="Calibri"/>
          <w:lang w:eastAsia="en-US"/>
        </w:rPr>
        <w:t xml:space="preserve">Na podstawie art. 49 ustawy z dnia 14 czerwca 1960 r. </w:t>
      </w:r>
      <w:r>
        <w:rPr>
          <w:rFonts w:ascii="Century Gothic" w:hAnsi="Century Gothic" w:cs="Calibri"/>
          <w:i/>
          <w:lang w:eastAsia="en-US"/>
        </w:rPr>
        <w:t xml:space="preserve">kodeks postępowania administracyjnego </w:t>
      </w:r>
      <w:r>
        <w:rPr>
          <w:rFonts w:ascii="Century Gothic" w:hAnsi="Century Gothic" w:cs="Calibri"/>
          <w:lang w:eastAsia="en-US"/>
        </w:rPr>
        <w:t xml:space="preserve">/Dz. U. 2025 r., poz. 1691/, w związku z art. 74 ust. 3 ustawy </w:t>
      </w:r>
      <w:r>
        <w:rPr>
          <w:rFonts w:ascii="Century Gothic" w:hAnsi="Century Gothic" w:cs="Calibri"/>
          <w:lang w:eastAsia="en-US"/>
        </w:rPr>
        <w:br/>
        <w:t xml:space="preserve">z dnia 3 października </w:t>
      </w:r>
      <w:r>
        <w:rPr>
          <w:rFonts w:ascii="Century Gothic" w:hAnsi="Century Gothic" w:cs="Calibri"/>
          <w:bCs/>
          <w:lang w:eastAsia="en-US"/>
        </w:rPr>
        <w:t xml:space="preserve">2008 r. </w:t>
      </w:r>
      <w:r>
        <w:rPr>
          <w:rFonts w:ascii="Century Gothic" w:hAnsi="Century Gothic" w:cs="Calibri"/>
          <w:bCs/>
          <w:i/>
          <w:lang w:eastAsia="en-US"/>
        </w:rPr>
        <w:t>o udostępnianiu informacji o środowisku i jego ochronie, udziale społeczeństwa w ochronie środowiska oraz o ocenach oddziaływania na środowisko</w:t>
      </w:r>
      <w:r>
        <w:rPr>
          <w:rFonts w:ascii="Century Gothic" w:hAnsi="Century Gothic" w:cs="Calibri"/>
          <w:bCs/>
          <w:lang w:eastAsia="en-US"/>
        </w:rPr>
        <w:t xml:space="preserve"> </w:t>
      </w:r>
      <w:r>
        <w:rPr>
          <w:rFonts w:ascii="Century Gothic" w:hAnsi="Century Gothic" w:cs="Calibri"/>
          <w:lang w:eastAsia="en-US"/>
        </w:rPr>
        <w:t xml:space="preserve">/Dz. U. z 2024 r., poz. 1112 ze zm./ </w:t>
      </w:r>
      <w:r>
        <w:rPr>
          <w:rFonts w:ascii="Century Gothic" w:hAnsi="Century Gothic" w:cs="Calibri"/>
          <w:b/>
          <w:lang w:eastAsia="en-US"/>
        </w:rPr>
        <w:t xml:space="preserve">Wójt Gminy Gniezno </w:t>
      </w:r>
      <w:r>
        <w:rPr>
          <w:rFonts w:ascii="Century Gothic" w:hAnsi="Century Gothic" w:cs="Calibri"/>
          <w:bCs/>
          <w:lang w:eastAsia="en-US"/>
        </w:rPr>
        <w:t>zawiadamia</w:t>
      </w:r>
      <w:r>
        <w:rPr>
          <w:rFonts w:ascii="Century Gothic" w:hAnsi="Century Gothic" w:cs="Calibri"/>
          <w:b/>
          <w:bCs/>
          <w:lang w:eastAsia="en-US"/>
        </w:rPr>
        <w:t xml:space="preserve"> </w:t>
      </w:r>
      <w:r>
        <w:rPr>
          <w:rFonts w:ascii="Century Gothic" w:hAnsi="Century Gothic" w:cs="Calibri"/>
          <w:bCs/>
          <w:lang w:eastAsia="en-US"/>
        </w:rPr>
        <w:t>strony postępowania administracyjnego o wydanej</w:t>
      </w:r>
      <w:r>
        <w:rPr>
          <w:rFonts w:ascii="Century Gothic" w:hAnsi="Century Gothic" w:cs="Calibri"/>
          <w:lang w:eastAsia="en-US"/>
        </w:rPr>
        <w:t xml:space="preserve"> dnia 24 kwietnia 2026 r. decyzji </w:t>
      </w:r>
      <w:r>
        <w:rPr>
          <w:rFonts w:ascii="Century Gothic" w:hAnsi="Century Gothic" w:cs="Calibri"/>
          <w:lang w:eastAsia="en-US"/>
        </w:rPr>
        <w:br/>
        <w:t>o umorzeniu w całości postępowania administracyjnego w sprawie wydania decyzji o środowiskowych uwarunkowaniach</w:t>
      </w:r>
      <w:r>
        <w:rPr>
          <w:rFonts w:ascii="Century Gothic" w:hAnsi="Century Gothic" w:cs="Calibri"/>
          <w:b/>
          <w:lang w:eastAsia="en-US"/>
        </w:rPr>
        <w:t xml:space="preserve"> </w:t>
      </w:r>
      <w:r>
        <w:rPr>
          <w:rFonts w:ascii="Century Gothic" w:hAnsi="Century Gothic" w:cs="Calibri"/>
          <w:lang w:eastAsia="en-US"/>
        </w:rPr>
        <w:t>dla przedsięwzięcia polegającego na</w:t>
      </w:r>
      <w:bookmarkStart w:id="0" w:name="_Hlk75772086"/>
      <w:r>
        <w:rPr>
          <w:rFonts w:ascii="Century Gothic" w:hAnsi="Century Gothic"/>
          <w:b/>
        </w:rPr>
        <w:t xml:space="preserve"> budowie 48 budynków mieszkalnych wraz z infrastrukturą towarzyszącą w miejscowości Szczytniki Duchowne, Gmina Gniezno, działki nr</w:t>
      </w:r>
      <w:r>
        <w:rPr>
          <w:rFonts w:ascii="Arial" w:hAnsi="Arial" w:cs="Arial"/>
        </w:rPr>
        <w:t xml:space="preserve"> </w:t>
      </w:r>
      <w:r>
        <w:rPr>
          <w:rFonts w:ascii="Century Gothic" w:hAnsi="Century Gothic" w:cs="Arial"/>
          <w:b/>
          <w:bCs/>
        </w:rPr>
        <w:t>94/1, 95/1, 95/2, 95/3, 95/4, 95/5, 95/6, 95/7, 95/8, 95/9, 95/10, 95/11, 95/12, 95/13, 95/14</w:t>
      </w:r>
      <w:r>
        <w:rPr>
          <w:rFonts w:ascii="Century Gothic" w:hAnsi="Century Gothic" w:cs="Calibri"/>
          <w:lang w:eastAsia="en-US"/>
        </w:rPr>
        <w:t>,</w:t>
      </w:r>
      <w:r>
        <w:rPr>
          <w:rFonts w:ascii="Century Gothic" w:hAnsi="Century Gothic" w:cs="Calibri"/>
          <w:b/>
          <w:lang w:eastAsia="en-US"/>
        </w:rPr>
        <w:t xml:space="preserve"> </w:t>
      </w:r>
      <w:bookmarkEnd w:id="0"/>
      <w:r>
        <w:rPr>
          <w:rFonts w:ascii="Century Gothic" w:hAnsi="Century Gothic" w:cs="Calibri"/>
          <w:bCs/>
          <w:lang w:eastAsia="en-US"/>
        </w:rPr>
        <w:t>której treść podaje poniżej.</w:t>
      </w:r>
      <w:r>
        <w:rPr>
          <w:rFonts w:ascii="Century Gothic" w:hAnsi="Century Gothic" w:cs="Calibri"/>
          <w:b/>
          <w:bCs/>
          <w:lang w:eastAsia="en-US"/>
        </w:rPr>
        <w:t xml:space="preserve"> </w:t>
      </w:r>
    </w:p>
    <w:p w14:paraId="19CC92E5" w14:textId="77777777" w:rsidR="00F71610" w:rsidRDefault="00F71610" w:rsidP="00F71610">
      <w:pPr>
        <w:spacing w:after="120" w:line="276" w:lineRule="auto"/>
        <w:jc w:val="both"/>
        <w:rPr>
          <w:rFonts w:ascii="Century Gothic" w:hAnsi="Century Gothic"/>
          <w:b/>
          <w:sz w:val="16"/>
          <w:szCs w:val="16"/>
          <w:u w:val="single"/>
        </w:rPr>
      </w:pPr>
    </w:p>
    <w:p w14:paraId="582C0B85" w14:textId="77777777" w:rsidR="00F71610" w:rsidRDefault="00F71610" w:rsidP="00F71610">
      <w:pPr>
        <w:spacing w:after="120" w:line="276" w:lineRule="auto"/>
        <w:jc w:val="both"/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  <w:u w:val="single"/>
        </w:rPr>
        <w:t>Uwaga</w:t>
      </w:r>
      <w:r>
        <w:rPr>
          <w:rFonts w:ascii="Century Gothic" w:hAnsi="Century Gothic"/>
          <w:b/>
          <w:sz w:val="16"/>
          <w:szCs w:val="16"/>
        </w:rPr>
        <w:t>:</w:t>
      </w:r>
    </w:p>
    <w:p w14:paraId="2CC2CD3A" w14:textId="77777777" w:rsidR="00F71610" w:rsidRDefault="00F71610" w:rsidP="00F71610">
      <w:pPr>
        <w:spacing w:after="120" w:line="276" w:lineRule="auto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ab/>
        <w:t>Ponieważ w powyższej sprawie liczba stron postępowania przekracza 10, zgodnie z art. 74 ust. 3 ustawy z dnia 3 października 2008 roku o udostępnianiu informacji o środowisku i jego ochronie, udziale społeczeństwa w ochronie środowiska oraz o ocenach oddziaływania na środowisko oraz art. 49 Kodeksu postępowania administracyjnego – zawiadomienie stron o wydanej decyzji zostaje podane w formie obwieszczenia. Doręczenie uważa się za dokonane po upływie czternastu dni od dnia publicznego ogłoszenia. Publiczne udostępnienie następuje z dniem</w:t>
      </w:r>
      <w:r>
        <w:rPr>
          <w:rFonts w:ascii="Century Gothic" w:hAnsi="Century Gothic"/>
          <w:b/>
          <w:bCs/>
          <w:sz w:val="16"/>
          <w:szCs w:val="16"/>
        </w:rPr>
        <w:t xml:space="preserve"> 27</w:t>
      </w:r>
      <w:r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b/>
          <w:bCs/>
          <w:sz w:val="16"/>
          <w:szCs w:val="16"/>
        </w:rPr>
        <w:t>kwietnia 2026 roku</w:t>
      </w:r>
      <w:r>
        <w:rPr>
          <w:rFonts w:ascii="Century Gothic" w:hAnsi="Century Gothic"/>
          <w:sz w:val="16"/>
          <w:szCs w:val="16"/>
        </w:rPr>
        <w:t>.</w:t>
      </w:r>
    </w:p>
    <w:p w14:paraId="4847F0BA" w14:textId="77777777" w:rsidR="00F71610" w:rsidRDefault="00F71610" w:rsidP="00F71610">
      <w:pPr>
        <w:keepNext/>
        <w:keepLines/>
        <w:spacing w:before="40" w:line="276" w:lineRule="auto"/>
        <w:jc w:val="right"/>
        <w:outlineLvl w:val="4"/>
        <w:rPr>
          <w:rFonts w:ascii="Century Gothic" w:hAnsi="Century Gothic"/>
        </w:rPr>
      </w:pPr>
      <w:r>
        <w:rPr>
          <w:rFonts w:ascii="Century Gothic" w:hAnsi="Century Gothic"/>
        </w:rPr>
        <w:t>Gniezno, dnia 24 kwietnia 2026 r.</w:t>
      </w:r>
    </w:p>
    <w:p w14:paraId="0AEAF46D" w14:textId="77777777" w:rsidR="00F71610" w:rsidRDefault="00F71610" w:rsidP="00F71610">
      <w:pPr>
        <w:keepNext/>
        <w:keepLines/>
        <w:spacing w:before="40" w:line="276" w:lineRule="auto"/>
        <w:outlineLvl w:val="5"/>
        <w:rPr>
          <w:rFonts w:ascii="Century Gothic" w:hAnsi="Century Gothic"/>
        </w:rPr>
      </w:pPr>
      <w:r>
        <w:rPr>
          <w:rFonts w:ascii="Century Gothic" w:hAnsi="Century Gothic"/>
        </w:rPr>
        <w:t>OŚR. 6220.1.2026</w:t>
      </w:r>
    </w:p>
    <w:p w14:paraId="72AFBFCD" w14:textId="77777777" w:rsidR="00F71610" w:rsidRDefault="00F71610" w:rsidP="00F71610">
      <w:pPr>
        <w:keepNext/>
        <w:spacing w:line="276" w:lineRule="auto"/>
        <w:jc w:val="center"/>
        <w:outlineLvl w:val="0"/>
        <w:rPr>
          <w:rFonts w:ascii="Century Gothic" w:hAnsi="Century Gothic"/>
          <w:b/>
          <w:bCs/>
          <w:sz w:val="21"/>
          <w:szCs w:val="21"/>
        </w:rPr>
      </w:pPr>
      <w:r>
        <w:rPr>
          <w:rFonts w:ascii="Century Gothic" w:hAnsi="Century Gothic"/>
          <w:b/>
          <w:bCs/>
          <w:sz w:val="21"/>
          <w:szCs w:val="21"/>
        </w:rPr>
        <w:t>Decyzja</w:t>
      </w:r>
    </w:p>
    <w:p w14:paraId="5B5E233E" w14:textId="77777777" w:rsidR="00F71610" w:rsidRDefault="00F71610" w:rsidP="00F71610">
      <w:pPr>
        <w:spacing w:line="276" w:lineRule="auto"/>
        <w:jc w:val="center"/>
        <w:rPr>
          <w:rFonts w:ascii="Century Gothic" w:hAnsi="Century Gothic"/>
          <w:b/>
          <w:bCs/>
          <w:sz w:val="21"/>
          <w:szCs w:val="21"/>
        </w:rPr>
      </w:pPr>
      <w:r>
        <w:rPr>
          <w:rFonts w:ascii="Century Gothic" w:hAnsi="Century Gothic"/>
          <w:b/>
          <w:bCs/>
          <w:sz w:val="21"/>
          <w:szCs w:val="21"/>
        </w:rPr>
        <w:t>o umorzeniu postępowania</w:t>
      </w:r>
    </w:p>
    <w:p w14:paraId="457AE075" w14:textId="77777777" w:rsidR="00F71610" w:rsidRDefault="00F71610" w:rsidP="00F71610">
      <w:pPr>
        <w:spacing w:line="276" w:lineRule="auto"/>
        <w:jc w:val="center"/>
        <w:rPr>
          <w:rFonts w:ascii="Century Gothic" w:hAnsi="Century Gothic"/>
          <w:b/>
          <w:bCs/>
          <w:sz w:val="21"/>
          <w:szCs w:val="21"/>
        </w:rPr>
      </w:pPr>
    </w:p>
    <w:p w14:paraId="1601C7AA" w14:textId="259393A9" w:rsidR="00F71610" w:rsidRDefault="00F71610" w:rsidP="00F71610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 w:cs="Calibri"/>
        </w:rPr>
        <w:t xml:space="preserve">Na podstawie </w:t>
      </w:r>
      <w:r>
        <w:rPr>
          <w:rFonts w:ascii="Century Gothic" w:eastAsiaTheme="minorHAnsi" w:hAnsi="Century Gothic" w:cstheme="minorBidi"/>
          <w:lang w:eastAsia="en-US"/>
        </w:rPr>
        <w:t xml:space="preserve">art. 86d ust. 1 pkt 2 ustawy </w:t>
      </w:r>
      <w:r>
        <w:rPr>
          <w:rFonts w:ascii="Century Gothic" w:hAnsi="Century Gothic" w:cs="Calibri"/>
          <w:lang w:eastAsia="en-US"/>
        </w:rPr>
        <w:t xml:space="preserve">z dnia 3 października </w:t>
      </w:r>
      <w:r>
        <w:rPr>
          <w:rFonts w:ascii="Century Gothic" w:hAnsi="Century Gothic" w:cs="Calibri"/>
          <w:bCs/>
          <w:lang w:eastAsia="en-US"/>
        </w:rPr>
        <w:t xml:space="preserve">2008 r. </w:t>
      </w:r>
      <w:r>
        <w:rPr>
          <w:rFonts w:ascii="Century Gothic" w:hAnsi="Century Gothic" w:cs="Calibri"/>
          <w:bCs/>
          <w:i/>
          <w:lang w:eastAsia="en-US"/>
        </w:rPr>
        <w:t xml:space="preserve">o udostępnianiu informacji o środowisku i jego ochronie, udziale społeczeństwa w ochronie środowiska oraz o ocenach oddziaływania na środowisko </w:t>
      </w:r>
      <w:r>
        <w:rPr>
          <w:rFonts w:ascii="Century Gothic" w:hAnsi="Century Gothic" w:cs="Calibri"/>
          <w:lang w:eastAsia="en-US"/>
        </w:rPr>
        <w:t>/Dz. U. z 2024 r., poz. 1112 ze zm./</w:t>
      </w:r>
      <w:r>
        <w:rPr>
          <w:rFonts w:ascii="Century Gothic" w:hAnsi="Century Gothic"/>
        </w:rPr>
        <w:t xml:space="preserve"> oraz w związku z</w:t>
      </w:r>
      <w:r>
        <w:rPr>
          <w:rFonts w:ascii="Century Gothic" w:hAnsi="Century Gothic" w:cs="Calibri"/>
        </w:rPr>
        <w:t xml:space="preserve"> art. </w:t>
      </w:r>
      <w:r>
        <w:rPr>
          <w:rFonts w:ascii="Century Gothic" w:hAnsi="Century Gothic"/>
          <w:bCs/>
        </w:rPr>
        <w:t>105 § 1</w:t>
      </w:r>
      <w:r>
        <w:rPr>
          <w:rFonts w:ascii="Century Gothic" w:hAnsi="Century Gothic" w:cs="Calibri"/>
        </w:rPr>
        <w:t xml:space="preserve"> ustawy z dnia 14 czerwca 1960 r. </w:t>
      </w:r>
      <w:r>
        <w:rPr>
          <w:rFonts w:ascii="Century Gothic" w:hAnsi="Century Gothic" w:cs="Calibri"/>
          <w:i/>
        </w:rPr>
        <w:t xml:space="preserve">kodeks postępowania administracyjnego </w:t>
      </w:r>
      <w:r>
        <w:rPr>
          <w:rFonts w:ascii="Century Gothic" w:hAnsi="Century Gothic" w:cs="Calibri"/>
        </w:rPr>
        <w:t>/Dz. U. z 2025 r., poz. 1691/, po rozpatrzeniu wniosku</w:t>
      </w:r>
      <w:r>
        <w:rPr>
          <w:rFonts w:ascii="Century Gothic" w:hAnsi="Century Gothic"/>
          <w:lang w:eastAsia="en-US"/>
        </w:rPr>
        <w:t xml:space="preserve"> Inwestora </w:t>
      </w:r>
      <w:r>
        <w:rPr>
          <w:rFonts w:ascii="Century Gothic" w:hAnsi="Century Gothic"/>
          <w:b/>
        </w:rPr>
        <w:t xml:space="preserve">Pana Henryka P. i Pani Darii P-Ch. reprezentowanych przez Pełnomocnika Pana Piotra Sadowskiego i Pana Grzegorza </w:t>
      </w:r>
      <w:proofErr w:type="spellStart"/>
      <w:r>
        <w:rPr>
          <w:rFonts w:ascii="Century Gothic" w:hAnsi="Century Gothic"/>
          <w:b/>
        </w:rPr>
        <w:t>Rydian</w:t>
      </w:r>
      <w:proofErr w:type="spellEnd"/>
      <w:r>
        <w:rPr>
          <w:rFonts w:ascii="Century Gothic" w:hAnsi="Century Gothic"/>
          <w:b/>
        </w:rPr>
        <w:t xml:space="preserve"> z Biuro Rzeczoznawstwa i Ekonomii Środowiska CODEX Sadowski i Wspólnicy Spółka Jawna, ul. Stachury 9, 63-000 Środa Wielkopolska</w:t>
      </w:r>
      <w:r>
        <w:rPr>
          <w:rFonts w:ascii="Century Gothic" w:hAnsi="Century Gothic"/>
          <w:bCs/>
        </w:rPr>
        <w:t xml:space="preserve"> </w:t>
      </w:r>
      <w:r>
        <w:rPr>
          <w:rFonts w:ascii="Century Gothic" w:hAnsi="Century Gothic" w:cs="Calibri"/>
        </w:rPr>
        <w:t xml:space="preserve">w sprawie wydania decyzji o środowiskowych uwarunkowaniach dla przedsięwzięcia polegającego na </w:t>
      </w:r>
      <w:r>
        <w:rPr>
          <w:rFonts w:ascii="Century Gothic" w:hAnsi="Century Gothic"/>
          <w:b/>
        </w:rPr>
        <w:t>budowie 48 budynków mieszkalnych wraz z infrastrukturą towarzyszącą w miejscowości Szczytniki Duchowne, Gmina Gniezno, działki nr</w:t>
      </w:r>
      <w:r>
        <w:rPr>
          <w:rFonts w:ascii="Arial" w:hAnsi="Arial" w:cs="Arial"/>
        </w:rPr>
        <w:t xml:space="preserve"> </w:t>
      </w:r>
      <w:r>
        <w:rPr>
          <w:rFonts w:ascii="Century Gothic" w:hAnsi="Century Gothic" w:cs="Arial"/>
          <w:b/>
          <w:bCs/>
        </w:rPr>
        <w:t>94/1, 95/1, 95/2, 95/3, 95/4, 95/5, 95/6, 95/7, 95/8, 95/9, 95/10, 95/11, 95/12, 95/13, 95/14.</w:t>
      </w:r>
    </w:p>
    <w:p w14:paraId="5D559275" w14:textId="77777777" w:rsidR="00F71610" w:rsidRDefault="00F71610" w:rsidP="00F71610">
      <w:pPr>
        <w:spacing w:line="276" w:lineRule="auto"/>
        <w:jc w:val="center"/>
        <w:rPr>
          <w:rFonts w:ascii="Century Gothic" w:hAnsi="Century Gothic" w:cs="Calibri"/>
          <w:b/>
          <w:sz w:val="21"/>
          <w:szCs w:val="21"/>
        </w:rPr>
      </w:pPr>
      <w:r>
        <w:rPr>
          <w:rFonts w:ascii="Century Gothic" w:hAnsi="Century Gothic" w:cs="Calibri"/>
          <w:b/>
          <w:sz w:val="21"/>
          <w:szCs w:val="21"/>
        </w:rPr>
        <w:t>Orzekam</w:t>
      </w:r>
    </w:p>
    <w:p w14:paraId="36E07A35" w14:textId="77777777" w:rsidR="00F71610" w:rsidRDefault="00F71610" w:rsidP="00F71610">
      <w:pPr>
        <w:spacing w:line="276" w:lineRule="auto"/>
        <w:jc w:val="center"/>
        <w:rPr>
          <w:rFonts w:ascii="Century Gothic" w:hAnsi="Century Gothic" w:cs="Calibri"/>
          <w:b/>
          <w:sz w:val="22"/>
          <w:szCs w:val="22"/>
        </w:rPr>
      </w:pPr>
    </w:p>
    <w:p w14:paraId="5CBD05B7" w14:textId="77777777" w:rsidR="00F71610" w:rsidRDefault="00F71610" w:rsidP="00F71610">
      <w:pPr>
        <w:spacing w:line="276" w:lineRule="auto"/>
        <w:jc w:val="both"/>
        <w:rPr>
          <w:rFonts w:ascii="Century Gothic" w:hAnsi="Century Gothic" w:cs="Arial"/>
          <w:bCs/>
          <w:i/>
          <w:iCs/>
        </w:rPr>
      </w:pPr>
      <w:r>
        <w:rPr>
          <w:rFonts w:ascii="Century Gothic" w:hAnsi="Century Gothic"/>
          <w:bCs/>
          <w:i/>
          <w:iCs/>
        </w:rPr>
        <w:t>umorzyć w całości postępowanie administracyjne w sprawie wydania decyzji o środowiskowych uwarunkowaniach dla przedsięwzięcia polegającego na budowie 48 budynków mieszkalnych wraz z infrastrukturą towarzyszącą w miejscowości Szczytniki Duchowne, Gmina Gniezno, działki nr</w:t>
      </w:r>
      <w:r>
        <w:rPr>
          <w:rFonts w:ascii="Arial" w:hAnsi="Arial" w:cs="Arial"/>
          <w:bCs/>
          <w:i/>
          <w:iCs/>
        </w:rPr>
        <w:t xml:space="preserve"> </w:t>
      </w:r>
      <w:r>
        <w:rPr>
          <w:rFonts w:ascii="Century Gothic" w:hAnsi="Century Gothic" w:cs="Arial"/>
          <w:bCs/>
          <w:i/>
          <w:iCs/>
        </w:rPr>
        <w:t>94/1, 95/1, 95/2, 95/3, 95/4, 95/5, 95/6, 95/7, 95/8, 95/9, 95/10, 95/11, 95/12, 95/13, 95/14.</w:t>
      </w:r>
    </w:p>
    <w:p w14:paraId="5A911BBD" w14:textId="77777777" w:rsidR="00F71610" w:rsidRDefault="00F71610" w:rsidP="00F71610">
      <w:pPr>
        <w:spacing w:line="276" w:lineRule="auto"/>
        <w:jc w:val="both"/>
        <w:rPr>
          <w:rFonts w:ascii="Century Gothic" w:hAnsi="Century Gothic" w:cs="Arial"/>
          <w:bCs/>
          <w:i/>
          <w:iCs/>
          <w:color w:val="EE0000"/>
        </w:rPr>
      </w:pPr>
    </w:p>
    <w:p w14:paraId="0BE20ED6" w14:textId="77777777" w:rsidR="00F71610" w:rsidRDefault="00F71610" w:rsidP="00F71610">
      <w:pPr>
        <w:keepNext/>
        <w:spacing w:after="120" w:line="276" w:lineRule="auto"/>
        <w:jc w:val="center"/>
        <w:outlineLvl w:val="1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lastRenderedPageBreak/>
        <w:t>Uzasadnienie</w:t>
      </w:r>
    </w:p>
    <w:p w14:paraId="7A5FCDCD" w14:textId="77777777" w:rsidR="00F71610" w:rsidRDefault="00F71610" w:rsidP="00F71610">
      <w:pPr>
        <w:spacing w:line="276" w:lineRule="auto"/>
        <w:jc w:val="both"/>
        <w:rPr>
          <w:rFonts w:ascii="Century Gothic" w:hAnsi="Century Gothic" w:cs="Calibri"/>
          <w:bCs/>
          <w:i/>
          <w:iCs/>
          <w:color w:val="EE0000"/>
        </w:rPr>
      </w:pPr>
    </w:p>
    <w:p w14:paraId="48673C2A" w14:textId="77777777" w:rsidR="00F71610" w:rsidRDefault="00F71610" w:rsidP="00F71610">
      <w:pPr>
        <w:pStyle w:val="Nagwek6"/>
        <w:keepLines w:val="0"/>
        <w:spacing w:before="0" w:line="276" w:lineRule="auto"/>
        <w:jc w:val="both"/>
        <w:rPr>
          <w:rFonts w:ascii="Century Gothic" w:hAnsi="Century Gothic"/>
          <w:i w:val="0"/>
          <w:iCs w:val="0"/>
          <w:color w:val="auto"/>
        </w:rPr>
      </w:pPr>
      <w:r>
        <w:rPr>
          <w:rFonts w:ascii="Century Gothic" w:hAnsi="Century Gothic" w:cs="Calibri"/>
          <w:i w:val="0"/>
          <w:iCs w:val="0"/>
          <w:color w:val="auto"/>
          <w:lang w:eastAsia="en-US"/>
        </w:rPr>
        <w:t xml:space="preserve">1. </w:t>
      </w:r>
      <w:r>
        <w:rPr>
          <w:rFonts w:ascii="Century Gothic" w:hAnsi="Century Gothic"/>
          <w:i w:val="0"/>
          <w:iCs w:val="0"/>
          <w:color w:val="auto"/>
        </w:rPr>
        <w:t>Zgodnie z art. 105 § 1 Kpa „gdy postępowanie z jakiejkolwiek przyczyny stało się bezprzedmiotowe w całości albo w części, organ administracji publicznej wydaje decyzję o umorzeniu postępowania odpowiednio w całości albo w części”.</w:t>
      </w:r>
    </w:p>
    <w:p w14:paraId="3B7BF97D" w14:textId="1BA674B8" w:rsidR="00F71610" w:rsidRDefault="00F71610" w:rsidP="00F71610">
      <w:pPr>
        <w:spacing w:line="276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  <w:lang w:eastAsia="en-US"/>
        </w:rPr>
        <w:t xml:space="preserve">2. </w:t>
      </w:r>
      <w:r>
        <w:rPr>
          <w:rFonts w:ascii="Century Gothic" w:hAnsi="Century Gothic" w:cs="Calibri"/>
        </w:rPr>
        <w:t xml:space="preserve">Wnioskiem z dnia 2 lutego 2026 r. (data wpływu 9.02.2026 r.) </w:t>
      </w:r>
      <w:r w:rsidRPr="00F71610">
        <w:rPr>
          <w:rFonts w:ascii="Century Gothic" w:hAnsi="Century Gothic"/>
          <w:lang w:eastAsia="en-US"/>
        </w:rPr>
        <w:t>Inwestor</w:t>
      </w:r>
      <w:r w:rsidRPr="00F71610">
        <w:rPr>
          <w:rFonts w:ascii="Century Gothic" w:eastAsiaTheme="minorHAnsi" w:hAnsi="Century Gothic" w:cstheme="minorBidi"/>
          <w:lang w:eastAsia="en-US"/>
        </w:rPr>
        <w:t xml:space="preserve"> </w:t>
      </w:r>
      <w:r w:rsidRPr="00F71610">
        <w:rPr>
          <w:rFonts w:ascii="Century Gothic" w:hAnsi="Century Gothic"/>
        </w:rPr>
        <w:t>r</w:t>
      </w:r>
      <w:r w:rsidRPr="00F71610">
        <w:rPr>
          <w:rFonts w:ascii="Century Gothic" w:hAnsi="Century Gothic"/>
        </w:rPr>
        <w:t xml:space="preserve"> </w:t>
      </w:r>
      <w:r w:rsidRPr="00F71610">
        <w:rPr>
          <w:rFonts w:ascii="Century Gothic" w:hAnsi="Century Gothic"/>
        </w:rPr>
        <w:t xml:space="preserve">Pana Henryka P. i Pani Darii P-Ch. </w:t>
      </w:r>
      <w:r w:rsidRPr="00F71610">
        <w:rPr>
          <w:rFonts w:ascii="Century Gothic" w:hAnsi="Century Gothic"/>
        </w:rPr>
        <w:t>r</w:t>
      </w:r>
      <w:r w:rsidRPr="00F71610">
        <w:rPr>
          <w:rFonts w:ascii="Century Gothic" w:hAnsi="Century Gothic"/>
        </w:rPr>
        <w:t>eprezentowani</w:t>
      </w:r>
      <w:r>
        <w:rPr>
          <w:rFonts w:ascii="Century Gothic" w:hAnsi="Century Gothic"/>
        </w:rPr>
        <w:t xml:space="preserve"> przez Pełnomocnika Pana Piotra Sadowskiego i Pana Grzegorza </w:t>
      </w:r>
      <w:proofErr w:type="spellStart"/>
      <w:r>
        <w:rPr>
          <w:rFonts w:ascii="Century Gothic" w:hAnsi="Century Gothic"/>
        </w:rPr>
        <w:t>Rydian</w:t>
      </w:r>
      <w:proofErr w:type="spellEnd"/>
      <w:r>
        <w:rPr>
          <w:rFonts w:ascii="Century Gothic" w:hAnsi="Century Gothic"/>
        </w:rPr>
        <w:t xml:space="preserve"> z Biuro Rzeczoznawstwa i Ekonomii Środowiska CODEX Sadowski i Wspólnicy Spółka Jawna, ul. Stachury 9, 63-000 Środa Wielkopolska </w:t>
      </w:r>
      <w:r>
        <w:rPr>
          <w:rFonts w:ascii="Century Gothic" w:hAnsi="Century Gothic" w:cs="Calibri"/>
        </w:rPr>
        <w:t xml:space="preserve">zwrócili się do Wójta Gminy Gniezno o wydanie decyzji o środowiskowych uwarunkowaniach dla przedsięwzięcia polegającego </w:t>
      </w:r>
      <w:r>
        <w:rPr>
          <w:rFonts w:ascii="Century Gothic" w:hAnsi="Century Gothic" w:cs="Calibri"/>
          <w:lang w:eastAsia="en-US"/>
        </w:rPr>
        <w:t>na</w:t>
      </w:r>
      <w:r>
        <w:rPr>
          <w:rFonts w:ascii="Century Gothic" w:eastAsiaTheme="minorHAnsi" w:hAnsi="Century Gothic" w:cstheme="minorBidi"/>
          <w:lang w:eastAsia="en-US"/>
        </w:rPr>
        <w:t xml:space="preserve"> </w:t>
      </w:r>
      <w:r>
        <w:rPr>
          <w:rFonts w:ascii="Century Gothic" w:hAnsi="Century Gothic"/>
        </w:rPr>
        <w:t>budowie 48 budynków mieszkalnych wraz z infrastrukturą towarzyszącą w miejscowości Szczytniki Duchowne, Gmina Gniezno, działki nr</w:t>
      </w:r>
      <w:r>
        <w:rPr>
          <w:rFonts w:ascii="Arial" w:hAnsi="Arial" w:cs="Arial"/>
        </w:rPr>
        <w:t xml:space="preserve"> </w:t>
      </w:r>
      <w:r>
        <w:rPr>
          <w:rFonts w:ascii="Century Gothic" w:hAnsi="Century Gothic" w:cs="Arial"/>
        </w:rPr>
        <w:t>94/1, 95/1, 95/2, 95/3, 95/4, 95/5, 95/6, 95/7, 95/8, 95/9, 95/10, 95/11, 95/12, 95/13, 95/14</w:t>
      </w:r>
      <w:r>
        <w:rPr>
          <w:rFonts w:ascii="Century Gothic" w:hAnsi="Century Gothic"/>
          <w:lang w:eastAsia="en-US"/>
        </w:rPr>
        <w:t xml:space="preserve">, </w:t>
      </w:r>
      <w:r>
        <w:rPr>
          <w:rFonts w:ascii="Century Gothic" w:hAnsi="Century Gothic" w:cs="Calibri"/>
        </w:rPr>
        <w:t>dołączając do wniosku kartę informacyjną przedsięwzięcia (również w wersji elektronicznej), poświadczoną przez właściwy organ mapę ewidencyjną w skali 1:2000, obejmującą przewidywany teren na którym będzie realizowane przedsięwzięcie oraz obejmującą przewidywany obszar, na który będzie oddziaływać przedsięwzięcie, (również w wersji elektronicznej) oraz pełnomocnictwo z opłata skarbową.</w:t>
      </w:r>
    </w:p>
    <w:p w14:paraId="1E1F0F46" w14:textId="77777777" w:rsidR="00F71610" w:rsidRDefault="00F71610" w:rsidP="00F71610">
      <w:pPr>
        <w:widowControl w:val="0"/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  <w:lang w:eastAsia="en-US"/>
        </w:rPr>
        <w:t xml:space="preserve">2. </w:t>
      </w:r>
      <w:r>
        <w:rPr>
          <w:rFonts w:ascii="Century Gothic" w:hAnsi="Century Gothic"/>
        </w:rPr>
        <w:t xml:space="preserve">Na podstawie art. 75 ust. 1 pkt 4 ustawy o udostępnieniu informacji o środowisku i jego ochronie, udziale społeczeństwa w ochronie środowiska oraz ocenach oddziaływania na środowisko, zwanej dalej ustawą </w:t>
      </w:r>
      <w:proofErr w:type="spellStart"/>
      <w:r>
        <w:rPr>
          <w:rFonts w:ascii="Century Gothic" w:hAnsi="Century Gothic"/>
        </w:rPr>
        <w:t>ooś</w:t>
      </w:r>
      <w:proofErr w:type="spellEnd"/>
      <w:r>
        <w:rPr>
          <w:rFonts w:ascii="Century Gothic" w:hAnsi="Century Gothic"/>
        </w:rPr>
        <w:t xml:space="preserve">, stwierdzono, że organem właściwym do wydania decyzji o środowiskowych uwarunkowaniach jest Wójt Gminy Gniezno. </w:t>
      </w:r>
    </w:p>
    <w:p w14:paraId="2899A242" w14:textId="77777777" w:rsidR="00F71610" w:rsidRDefault="00F71610" w:rsidP="00F71610">
      <w:pPr>
        <w:spacing w:line="276" w:lineRule="auto"/>
        <w:jc w:val="both"/>
        <w:rPr>
          <w:rFonts w:ascii="Century Gothic" w:hAnsi="Century Gothic" w:cs="Calibri"/>
          <w:bCs/>
        </w:rPr>
      </w:pPr>
      <w:r>
        <w:rPr>
          <w:rFonts w:ascii="Century Gothic" w:hAnsi="Century Gothic" w:cs="Calibri"/>
        </w:rPr>
        <w:t>3. Planowane przedsięwzięcie należy do przedsięwzięć mogących potencjalnie znacząco oddziaływać na środowisko – wymienione jest</w:t>
      </w:r>
      <w:r>
        <w:rPr>
          <w:rFonts w:ascii="Century Gothic" w:hAnsi="Century Gothic"/>
          <w:bCs/>
        </w:rPr>
        <w:t xml:space="preserve"> w § 3 ust. 1 pkt 55 lit. b </w:t>
      </w:r>
      <w:proofErr w:type="spellStart"/>
      <w:r>
        <w:rPr>
          <w:rFonts w:ascii="Century Gothic" w:hAnsi="Century Gothic"/>
          <w:bCs/>
        </w:rPr>
        <w:t>tiret</w:t>
      </w:r>
      <w:proofErr w:type="spellEnd"/>
      <w:r>
        <w:rPr>
          <w:rFonts w:ascii="Century Gothic" w:hAnsi="Century Gothic"/>
          <w:bCs/>
        </w:rPr>
        <w:t xml:space="preserve"> drugie </w:t>
      </w:r>
      <w:r>
        <w:rPr>
          <w:rFonts w:ascii="Century Gothic" w:hAnsi="Century Gothic" w:cs="Calibri"/>
          <w:bCs/>
        </w:rPr>
        <w:t>Rozporządzenia Rady Ministrów z dnia 10 września 2019 r. w sprawie przedsięwzięć mogących znacząco oddziaływać na środowisko  /Dz. U. z 2019 r. poz. 1839/.</w:t>
      </w:r>
      <w:r>
        <w:rPr>
          <w:rFonts w:ascii="Century Gothic" w:hAnsi="Century Gothic" w:cs="Calibri"/>
        </w:rPr>
        <w:t xml:space="preserve"> Wobec</w:t>
      </w:r>
      <w:r>
        <w:rPr>
          <w:rFonts w:ascii="Century Gothic" w:hAnsi="Century Gothic" w:cs="Calibri"/>
          <w:spacing w:val="24"/>
        </w:rPr>
        <w:t xml:space="preserve"> </w:t>
      </w:r>
      <w:r>
        <w:rPr>
          <w:rFonts w:ascii="Century Gothic" w:hAnsi="Century Gothic" w:cs="Calibri"/>
        </w:rPr>
        <w:t>powyż</w:t>
      </w:r>
      <w:r>
        <w:rPr>
          <w:rFonts w:ascii="Century Gothic" w:hAnsi="Century Gothic" w:cs="Calibri"/>
          <w:spacing w:val="-17"/>
        </w:rPr>
        <w:t>s</w:t>
      </w:r>
      <w:r>
        <w:rPr>
          <w:rFonts w:ascii="Century Gothic" w:hAnsi="Century Gothic" w:cs="Calibri"/>
        </w:rPr>
        <w:t>zego</w:t>
      </w:r>
      <w:r>
        <w:rPr>
          <w:rFonts w:ascii="Century Gothic" w:hAnsi="Century Gothic" w:cs="Calibri"/>
          <w:spacing w:val="46"/>
        </w:rPr>
        <w:t xml:space="preserve"> </w:t>
      </w:r>
      <w:r>
        <w:rPr>
          <w:rFonts w:ascii="Century Gothic" w:hAnsi="Century Gothic" w:cs="Calibri"/>
        </w:rPr>
        <w:t>przedmiotowe</w:t>
      </w:r>
      <w:r>
        <w:rPr>
          <w:rFonts w:ascii="Century Gothic" w:hAnsi="Century Gothic" w:cs="Calibri"/>
          <w:spacing w:val="37"/>
        </w:rPr>
        <w:t xml:space="preserve"> </w:t>
      </w:r>
      <w:r>
        <w:rPr>
          <w:rFonts w:ascii="Century Gothic" w:hAnsi="Century Gothic" w:cs="Calibri"/>
        </w:rPr>
        <w:t>przedsięwzięcie</w:t>
      </w:r>
      <w:r>
        <w:rPr>
          <w:rFonts w:ascii="Century Gothic" w:hAnsi="Century Gothic" w:cs="Calibri"/>
          <w:spacing w:val="16"/>
        </w:rPr>
        <w:t xml:space="preserve"> </w:t>
      </w:r>
      <w:r>
        <w:rPr>
          <w:rFonts w:ascii="Century Gothic" w:hAnsi="Century Gothic" w:cs="Calibri"/>
        </w:rPr>
        <w:t>zalicza</w:t>
      </w:r>
      <w:r>
        <w:rPr>
          <w:rFonts w:ascii="Century Gothic" w:hAnsi="Century Gothic" w:cs="Calibri"/>
          <w:spacing w:val="13"/>
        </w:rPr>
        <w:t xml:space="preserve"> </w:t>
      </w:r>
      <w:r>
        <w:rPr>
          <w:rFonts w:ascii="Century Gothic" w:hAnsi="Century Gothic" w:cs="Calibri"/>
        </w:rPr>
        <w:t>się do</w:t>
      </w:r>
      <w:r>
        <w:rPr>
          <w:rFonts w:ascii="Century Gothic" w:hAnsi="Century Gothic" w:cs="Calibri"/>
          <w:spacing w:val="15"/>
        </w:rPr>
        <w:t xml:space="preserve"> </w:t>
      </w:r>
      <w:r>
        <w:rPr>
          <w:rFonts w:ascii="Century Gothic" w:hAnsi="Century Gothic" w:cs="Calibri"/>
        </w:rPr>
        <w:t>przedsięwzięć</w:t>
      </w:r>
      <w:r>
        <w:rPr>
          <w:rFonts w:ascii="Century Gothic" w:hAnsi="Century Gothic" w:cs="Calibri"/>
          <w:spacing w:val="17"/>
        </w:rPr>
        <w:t xml:space="preserve"> </w:t>
      </w:r>
      <w:r>
        <w:rPr>
          <w:rFonts w:ascii="Century Gothic" w:hAnsi="Century Gothic" w:cs="Calibri"/>
        </w:rPr>
        <w:t xml:space="preserve">mogących potencjalnie </w:t>
      </w:r>
      <w:r>
        <w:rPr>
          <w:rFonts w:ascii="Century Gothic" w:hAnsi="Century Gothic" w:cs="Calibri"/>
          <w:spacing w:val="7"/>
        </w:rPr>
        <w:t xml:space="preserve"> </w:t>
      </w:r>
      <w:r>
        <w:rPr>
          <w:rFonts w:ascii="Century Gothic" w:hAnsi="Century Gothic" w:cs="Calibri"/>
        </w:rPr>
        <w:t>znacząco</w:t>
      </w:r>
      <w:r>
        <w:rPr>
          <w:rFonts w:ascii="Century Gothic" w:hAnsi="Century Gothic" w:cs="Calibri"/>
          <w:spacing w:val="-18"/>
        </w:rPr>
        <w:t xml:space="preserve"> </w:t>
      </w:r>
      <w:r>
        <w:rPr>
          <w:rFonts w:ascii="Century Gothic" w:hAnsi="Century Gothic" w:cs="Calibri"/>
        </w:rPr>
        <w:t xml:space="preserve">oddziaływać </w:t>
      </w:r>
      <w:r>
        <w:rPr>
          <w:rFonts w:ascii="Century Gothic" w:hAnsi="Century Gothic" w:cs="Calibri"/>
          <w:spacing w:val="6"/>
        </w:rPr>
        <w:t xml:space="preserve"> </w:t>
      </w:r>
      <w:r>
        <w:rPr>
          <w:rFonts w:ascii="Century Gothic" w:hAnsi="Century Gothic" w:cs="Calibri"/>
        </w:rPr>
        <w:t>na</w:t>
      </w:r>
      <w:r>
        <w:rPr>
          <w:rFonts w:ascii="Century Gothic" w:hAnsi="Century Gothic" w:cs="Calibri"/>
          <w:spacing w:val="27"/>
        </w:rPr>
        <w:t xml:space="preserve"> </w:t>
      </w:r>
      <w:r>
        <w:rPr>
          <w:rFonts w:ascii="Century Gothic" w:hAnsi="Century Gothic" w:cs="Calibri"/>
        </w:rPr>
        <w:t>środowisko,</w:t>
      </w:r>
      <w:r>
        <w:rPr>
          <w:rFonts w:ascii="Century Gothic" w:hAnsi="Century Gothic" w:cs="Calibri"/>
          <w:spacing w:val="5"/>
        </w:rPr>
        <w:t xml:space="preserve"> </w:t>
      </w:r>
      <w:r>
        <w:rPr>
          <w:rFonts w:ascii="Century Gothic" w:hAnsi="Century Gothic" w:cs="Calibri"/>
        </w:rPr>
        <w:t>dla</w:t>
      </w:r>
      <w:r>
        <w:rPr>
          <w:rFonts w:ascii="Century Gothic" w:hAnsi="Century Gothic" w:cs="Calibri"/>
          <w:spacing w:val="42"/>
        </w:rPr>
        <w:t xml:space="preserve"> </w:t>
      </w:r>
      <w:r>
        <w:rPr>
          <w:rFonts w:ascii="Century Gothic" w:hAnsi="Century Gothic" w:cs="Calibri"/>
        </w:rPr>
        <w:t>których</w:t>
      </w:r>
      <w:r>
        <w:rPr>
          <w:rFonts w:ascii="Century Gothic" w:hAnsi="Century Gothic" w:cs="Calibri"/>
          <w:spacing w:val="48"/>
        </w:rPr>
        <w:t xml:space="preserve"> </w:t>
      </w:r>
      <w:r>
        <w:rPr>
          <w:rFonts w:ascii="Century Gothic" w:hAnsi="Century Gothic" w:cs="Calibri"/>
        </w:rPr>
        <w:t>obowiązek</w:t>
      </w:r>
      <w:r>
        <w:rPr>
          <w:rFonts w:ascii="Century Gothic" w:hAnsi="Century Gothic" w:cs="Calibri"/>
          <w:spacing w:val="-4"/>
        </w:rPr>
        <w:t xml:space="preserve"> </w:t>
      </w:r>
      <w:r>
        <w:rPr>
          <w:rFonts w:ascii="Century Gothic" w:hAnsi="Century Gothic" w:cs="Calibri"/>
          <w:w w:val="102"/>
        </w:rPr>
        <w:t>przeprowa</w:t>
      </w:r>
      <w:r>
        <w:rPr>
          <w:rFonts w:ascii="Century Gothic" w:hAnsi="Century Gothic" w:cs="Calibri"/>
          <w:spacing w:val="11"/>
          <w:w w:val="103"/>
        </w:rPr>
        <w:t>d</w:t>
      </w:r>
      <w:r>
        <w:rPr>
          <w:rFonts w:ascii="Century Gothic" w:hAnsi="Century Gothic" w:cs="Calibri"/>
          <w:w w:val="107"/>
        </w:rPr>
        <w:t>z</w:t>
      </w:r>
      <w:r>
        <w:rPr>
          <w:rFonts w:ascii="Century Gothic" w:hAnsi="Century Gothic" w:cs="Calibri"/>
          <w:spacing w:val="-3"/>
          <w:w w:val="107"/>
        </w:rPr>
        <w:t>e</w:t>
      </w:r>
      <w:r>
        <w:rPr>
          <w:rFonts w:ascii="Century Gothic" w:hAnsi="Century Gothic" w:cs="Calibri"/>
          <w:w w:val="99"/>
        </w:rPr>
        <w:t xml:space="preserve">nia </w:t>
      </w:r>
      <w:r>
        <w:rPr>
          <w:rFonts w:ascii="Century Gothic" w:hAnsi="Century Gothic" w:cs="Calibri"/>
        </w:rPr>
        <w:t>oceny</w:t>
      </w:r>
      <w:r>
        <w:rPr>
          <w:rFonts w:ascii="Century Gothic" w:hAnsi="Century Gothic" w:cs="Calibri"/>
          <w:spacing w:val="22"/>
        </w:rPr>
        <w:t xml:space="preserve"> </w:t>
      </w:r>
      <w:r>
        <w:rPr>
          <w:rFonts w:ascii="Century Gothic" w:hAnsi="Century Gothic" w:cs="Calibri"/>
        </w:rPr>
        <w:t>oddziaływania</w:t>
      </w:r>
      <w:r>
        <w:rPr>
          <w:rFonts w:ascii="Century Gothic" w:hAnsi="Century Gothic" w:cs="Calibri"/>
          <w:spacing w:val="45"/>
        </w:rPr>
        <w:t xml:space="preserve"> </w:t>
      </w:r>
      <w:r>
        <w:rPr>
          <w:rFonts w:ascii="Century Gothic" w:hAnsi="Century Gothic" w:cs="Calibri"/>
        </w:rPr>
        <w:t>na środowisko</w:t>
      </w:r>
      <w:r>
        <w:rPr>
          <w:rFonts w:ascii="Century Gothic" w:hAnsi="Century Gothic" w:cs="Calibri"/>
          <w:spacing w:val="40"/>
        </w:rPr>
        <w:t xml:space="preserve"> </w:t>
      </w:r>
      <w:r>
        <w:rPr>
          <w:rFonts w:ascii="Century Gothic" w:hAnsi="Century Gothic" w:cs="Calibri"/>
        </w:rPr>
        <w:t>może</w:t>
      </w:r>
      <w:r>
        <w:rPr>
          <w:rFonts w:ascii="Century Gothic" w:hAnsi="Century Gothic" w:cs="Calibri"/>
          <w:spacing w:val="26"/>
        </w:rPr>
        <w:t xml:space="preserve"> </w:t>
      </w:r>
      <w:r>
        <w:rPr>
          <w:rFonts w:ascii="Century Gothic" w:hAnsi="Century Gothic" w:cs="Calibri"/>
        </w:rPr>
        <w:t>być</w:t>
      </w:r>
      <w:r>
        <w:rPr>
          <w:rFonts w:ascii="Century Gothic" w:hAnsi="Century Gothic" w:cs="Calibri"/>
          <w:spacing w:val="-4"/>
        </w:rPr>
        <w:t xml:space="preserve"> </w:t>
      </w:r>
      <w:r>
        <w:rPr>
          <w:rFonts w:ascii="Century Gothic" w:hAnsi="Century Gothic" w:cs="Calibri"/>
          <w:w w:val="103"/>
        </w:rPr>
        <w:t>stwierdzony.</w:t>
      </w:r>
    </w:p>
    <w:p w14:paraId="28F28FCD" w14:textId="77777777" w:rsidR="00F71610" w:rsidRDefault="00F71610" w:rsidP="00F71610">
      <w:pPr>
        <w:spacing w:line="276" w:lineRule="auto"/>
        <w:jc w:val="both"/>
        <w:rPr>
          <w:rFonts w:ascii="Century Gothic" w:eastAsia="Calibri" w:hAnsi="Century Gothic" w:cs="Calibri"/>
        </w:rPr>
      </w:pPr>
      <w:r>
        <w:rPr>
          <w:rFonts w:ascii="Century Gothic" w:eastAsia="Calibri" w:hAnsi="Century Gothic" w:cs="Calibri"/>
        </w:rPr>
        <w:t xml:space="preserve">4. Dane o wniosku zostały zamieszczone w publicznie dostępnym wykazie danych, </w:t>
      </w:r>
      <w:r>
        <w:rPr>
          <w:rFonts w:ascii="Century Gothic" w:eastAsia="Calibri" w:hAnsi="Century Gothic" w:cs="Calibri"/>
        </w:rPr>
        <w:br/>
        <w:t xml:space="preserve">z którym można się zapoznać w Urzędzie Gminy Gniezno, al. Reymonta 9-11, pokój nr 9, w godzinach urzędowania oraz </w:t>
      </w:r>
      <w:bookmarkStart w:id="1" w:name="_Hlk214272769"/>
      <w:r>
        <w:rPr>
          <w:rFonts w:ascii="Century Gothic" w:eastAsia="Calibri" w:hAnsi="Century Gothic" w:cs="Calibri"/>
        </w:rPr>
        <w:t xml:space="preserve">na stronie internetowej </w:t>
      </w:r>
      <w:r>
        <w:rPr>
          <w:rFonts w:ascii="Century Gothic" w:hAnsi="Century Gothic"/>
        </w:rPr>
        <w:t>https://gniezno.e-mapa.net/ekoportal/– centrum informacji o środowisku.</w:t>
      </w:r>
      <w:bookmarkEnd w:id="1"/>
    </w:p>
    <w:p w14:paraId="7C836C6F" w14:textId="77777777" w:rsidR="00F71610" w:rsidRDefault="00F71610" w:rsidP="00F71610">
      <w:pPr>
        <w:spacing w:line="276" w:lineRule="auto"/>
        <w:jc w:val="both"/>
        <w:rPr>
          <w:rFonts w:ascii="Century Gothic" w:hAnsi="Century Gothic"/>
          <w:b/>
          <w:lang w:eastAsia="en-US"/>
        </w:rPr>
      </w:pPr>
      <w:r>
        <w:rPr>
          <w:rFonts w:ascii="Century Gothic" w:hAnsi="Century Gothic" w:cs="Calibri"/>
          <w:w w:val="103"/>
          <w:lang w:eastAsia="en-US"/>
        </w:rPr>
        <w:t xml:space="preserve">5. </w:t>
      </w:r>
      <w:r>
        <w:rPr>
          <w:rFonts w:ascii="Century Gothic" w:eastAsiaTheme="minorHAnsi" w:hAnsi="Century Gothic" w:cs="Calibri"/>
          <w:w w:val="103"/>
          <w:lang w:eastAsia="en-US"/>
        </w:rPr>
        <w:t>W związku</w:t>
      </w:r>
      <w:r>
        <w:rPr>
          <w:rFonts w:ascii="Century Gothic" w:eastAsiaTheme="minorHAnsi" w:hAnsi="Century Gothic" w:cstheme="minorBidi"/>
          <w:lang w:eastAsia="en-US"/>
        </w:rPr>
        <w:t xml:space="preserve"> z tym, iż liczba stron przedmiotowego postępowania przekraczała 10, Wójt Gminy Gniezno zawiadomił strony postępowania administracyjnego w formie Obwieszczenia (znak OŚR. 6220.1.2026 z dnia 16 lutego 2026 r.) o wszczętym w dniu 9 lutego 2026 r. postępowaniu w sprawie wydania decyzji o środowiskowych uwarunkowaniach dla wnioskowanego przedsięwzięcia informując o możliwości zapoznania się z aktami sprawy.</w:t>
      </w:r>
    </w:p>
    <w:p w14:paraId="58E3CAAB" w14:textId="77777777" w:rsidR="00F71610" w:rsidRDefault="00F71610" w:rsidP="00F71610">
      <w:pPr>
        <w:spacing w:line="276" w:lineRule="auto"/>
        <w:jc w:val="both"/>
        <w:rPr>
          <w:rFonts w:ascii="Century Gothic" w:eastAsia="Calibri" w:hAnsi="Century Gothic" w:cs="Calibri"/>
          <w:lang w:eastAsia="en-US"/>
        </w:rPr>
      </w:pPr>
      <w:r>
        <w:rPr>
          <w:rFonts w:ascii="Century Gothic" w:eastAsia="Calibri" w:hAnsi="Century Gothic" w:cs="Calibri"/>
        </w:rPr>
        <w:t xml:space="preserve">6. Zgodnie </w:t>
      </w:r>
      <w:r>
        <w:rPr>
          <w:rFonts w:ascii="Century Gothic" w:eastAsia="Calibri" w:hAnsi="Century Gothic" w:cs="Calibri"/>
          <w:lang w:eastAsia="en-US"/>
        </w:rPr>
        <w:t xml:space="preserve">z art. 64 ust. 1 pkt 1, 2 i 4, ust. 2, 3 i 4 ustawy z dnia 3 października </w:t>
      </w:r>
      <w:r>
        <w:rPr>
          <w:rFonts w:ascii="Century Gothic" w:eastAsia="Calibri" w:hAnsi="Century Gothic" w:cs="Calibri"/>
          <w:bCs/>
          <w:lang w:eastAsia="en-US"/>
        </w:rPr>
        <w:t>2008 roku o udostępnianiu informacji o środowisku i jego ochronie, udziale społeczeństwa w ochronie środowiska oraz o ocenach oddziaływania na środowisko</w:t>
      </w:r>
      <w:r>
        <w:rPr>
          <w:rFonts w:ascii="Century Gothic" w:eastAsia="Calibri" w:hAnsi="Century Gothic" w:cs="Calibri"/>
          <w:lang w:eastAsia="en-US"/>
        </w:rPr>
        <w:t xml:space="preserve"> Organ prowadzący postępowanie wystąpił o opinię w sprawie potrzeby przeprowadzenia OOŚ i ewentualne określenie zakresu raportu do Regionalnego Dyrektora Ochrony Środowiska w Poznaniu, Państwowego Powiatowego Inspektora Sanitarnego w Gnieźnie oraz Dyrektora Zarządu Zlewni Wód Polskich w Poznaniu. </w:t>
      </w:r>
      <w:r>
        <w:rPr>
          <w:rFonts w:ascii="Century Gothic" w:hAnsi="Century Gothic" w:cs="Calibri"/>
          <w:lang w:eastAsia="en-US"/>
        </w:rPr>
        <w:t>Organy te wydały opinie/postanowienia stwierdzające brak potrzeby przeprowadzania oceny oddziaływania przedmiotowego przedsięwzięcia na środowisko (brak potrzeby wykonania raportu dla ww. przedsięwzięcia). Poniżej przedmiotowe opinie/ postanowienia:</w:t>
      </w:r>
    </w:p>
    <w:p w14:paraId="35E2F523" w14:textId="77777777" w:rsidR="00F71610" w:rsidRDefault="00F71610" w:rsidP="00F71610">
      <w:pPr>
        <w:numPr>
          <w:ilvl w:val="0"/>
          <w:numId w:val="1"/>
        </w:numPr>
        <w:spacing w:line="276" w:lineRule="auto"/>
        <w:ind w:left="714" w:hanging="357"/>
        <w:jc w:val="both"/>
        <w:rPr>
          <w:rFonts w:ascii="Century Gothic" w:eastAsiaTheme="minorHAnsi" w:hAnsi="Century Gothic" w:cs="Calibri"/>
        </w:rPr>
      </w:pPr>
      <w:r>
        <w:rPr>
          <w:rFonts w:ascii="Century Gothic" w:eastAsiaTheme="minorHAnsi" w:hAnsi="Century Gothic" w:cs="Calibri"/>
        </w:rPr>
        <w:t xml:space="preserve">Opinia sanitarna Państwowego Powiatowego Inspektora Sanitarnego w Gnieźnie z dnia 3 marca 2026 r. </w:t>
      </w:r>
      <w:bookmarkStart w:id="2" w:name="_Hlk187313243"/>
      <w:r>
        <w:rPr>
          <w:rFonts w:ascii="Century Gothic" w:eastAsiaTheme="minorHAnsi" w:hAnsi="Century Gothic" w:cs="Calibri"/>
        </w:rPr>
        <w:t xml:space="preserve">znak ON-NS.9022.5.6.2026 (data wpływu 3.03.2026 r.), </w:t>
      </w:r>
      <w:bookmarkEnd w:id="2"/>
    </w:p>
    <w:p w14:paraId="5EE31295" w14:textId="77777777" w:rsidR="00F71610" w:rsidRDefault="00F71610" w:rsidP="00F71610">
      <w:pPr>
        <w:numPr>
          <w:ilvl w:val="0"/>
          <w:numId w:val="1"/>
        </w:numPr>
        <w:spacing w:line="276" w:lineRule="auto"/>
        <w:ind w:left="714" w:hanging="357"/>
        <w:jc w:val="both"/>
        <w:rPr>
          <w:rFonts w:ascii="Century Gothic" w:hAnsi="Century Gothic" w:cs="Calibri"/>
        </w:rPr>
      </w:pPr>
      <w:r>
        <w:rPr>
          <w:rFonts w:ascii="Century Gothic" w:eastAsiaTheme="minorHAnsi" w:hAnsi="Century Gothic" w:cs="Calibri"/>
        </w:rPr>
        <w:lastRenderedPageBreak/>
        <w:t>Opinia Dyrektora Zarządu Zlewni Wód Polskich w Poznaniu z dnia 9 marca 2026 r. znak PZ.ZZŚ.4130.78.2026.KN.1 (data wpływu 11.03.2026 r.),</w:t>
      </w:r>
    </w:p>
    <w:p w14:paraId="484CDA49" w14:textId="77777777" w:rsidR="00F71610" w:rsidRDefault="00F71610" w:rsidP="00F71610">
      <w:pPr>
        <w:spacing w:line="276" w:lineRule="auto"/>
        <w:ind w:firstLine="357"/>
        <w:jc w:val="both"/>
        <w:rPr>
          <w:rFonts w:ascii="Century Gothic" w:hAnsi="Century Gothic" w:cs="Arial"/>
        </w:rPr>
      </w:pPr>
      <w:r>
        <w:rPr>
          <w:rFonts w:ascii="Century Gothic" w:eastAsiaTheme="minorHAnsi" w:hAnsi="Century Gothic" w:cs="Calibri"/>
        </w:rPr>
        <w:t xml:space="preserve">Regionalny Dyrektor Ochrony Środowiska w Poznaniu pismem </w:t>
      </w:r>
      <w:r>
        <w:rPr>
          <w:rFonts w:ascii="Century Gothic" w:hAnsi="Century Gothic"/>
        </w:rPr>
        <w:t>znak</w:t>
      </w:r>
      <w:r>
        <w:rPr>
          <w:rFonts w:ascii="Century Gothic" w:hAnsi="Century Gothic" w:cs="Calibri"/>
        </w:rPr>
        <w:t xml:space="preserve"> WOO-IV.4220.234.2026.EM.1 </w:t>
      </w:r>
      <w:r>
        <w:rPr>
          <w:rFonts w:ascii="Century Gothic" w:hAnsi="Century Gothic"/>
        </w:rPr>
        <w:t xml:space="preserve">z dnia 5 marca 2026 r. (data wpływu 5.03.2026 r.) zwrócił się do Wójta Gminy Gniezno z </w:t>
      </w:r>
      <w:r>
        <w:rPr>
          <w:rFonts w:ascii="Century Gothic" w:hAnsi="Century Gothic" w:cs="Calibri"/>
        </w:rPr>
        <w:t xml:space="preserve">prośbą o przedstawienie informacji, jaki jest faktyczny sposób zagospodarowania i wykorzystania terenów otaczających planowane przedsięwzięcie oraz o wezwanie wnioskodawcy do uzupełnienia karty informacyjnej przedsięwzięcia, określając jednocześnie zakres wezwania. W odpowiedzi na powyższe w dniu 9 marca 2026 roku Wójt Gminy Gniezno wezwał Pełnomocnika Inwestora do uzupełnienia karty informacyjnej przedsięwzięcia. W dniu 26 marca 2026 roku do tut. Organu wpłynął wniosek Pełnomocnika Inwestora o umorzenie postępowania w sprawie wydania decyzji o środowiskowych uwarunkowaniach dla przedsięwzięcia polegającego na </w:t>
      </w:r>
      <w:r>
        <w:rPr>
          <w:rFonts w:ascii="Century Gothic" w:hAnsi="Century Gothic"/>
        </w:rPr>
        <w:t>budowie 48 budynków mieszkalnych wraz z infrastrukturą towarzyszącą w miejscowości Szczytniki Duchowne, Gmina Gniezno, działki nr</w:t>
      </w:r>
      <w:r>
        <w:rPr>
          <w:rFonts w:ascii="Arial" w:hAnsi="Arial" w:cs="Arial"/>
        </w:rPr>
        <w:t xml:space="preserve"> </w:t>
      </w:r>
      <w:r>
        <w:rPr>
          <w:rFonts w:ascii="Century Gothic" w:hAnsi="Century Gothic" w:cs="Arial"/>
        </w:rPr>
        <w:t>94/1, 95/1, 95/2, 95/3, 95/4, 95/5, 95/6, 95/7, 95/8, 95/9, 95/10, 95/11, 95/12, 95/13, 95/14.</w:t>
      </w:r>
    </w:p>
    <w:p w14:paraId="475EFB89" w14:textId="77777777" w:rsidR="00F71610" w:rsidRDefault="00F71610" w:rsidP="00F71610">
      <w:pPr>
        <w:spacing w:line="276" w:lineRule="auto"/>
        <w:ind w:firstLine="357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Zgodnie z art. 86d ust. 1 pkt 2 i ust. 3 ustawy </w:t>
      </w:r>
      <w:proofErr w:type="spellStart"/>
      <w:r>
        <w:rPr>
          <w:rFonts w:ascii="Century Gothic" w:hAnsi="Century Gothic"/>
          <w:bCs/>
        </w:rPr>
        <w:t>ooś</w:t>
      </w:r>
      <w:proofErr w:type="spellEnd"/>
      <w:r>
        <w:rPr>
          <w:rFonts w:ascii="Century Gothic" w:hAnsi="Century Gothic"/>
          <w:bCs/>
        </w:rPr>
        <w:t>, organ właściwy do wydania decyzji o środowiskowych uwarunkowaniach na wniosek podmiotu planującego podjęcie realizacji przedsięwzięcia umarza postępowanie w sprawie wydania decyzji o środowiskowych uwarunkowaniach - jeżeli nie zagraża to interesowi społecznemu. W tej sytuacji, przepisu art. 105 § 2 Kodeksu postępowania administracyjnego nie stosuje się.</w:t>
      </w:r>
    </w:p>
    <w:p w14:paraId="21E48885" w14:textId="77777777" w:rsidR="00F71610" w:rsidRDefault="00F71610" w:rsidP="00F71610">
      <w:pPr>
        <w:spacing w:after="160" w:line="276" w:lineRule="auto"/>
        <w:jc w:val="both"/>
        <w:rPr>
          <w:rFonts w:ascii="Century Gothic" w:eastAsiaTheme="minorHAnsi" w:hAnsi="Century Gothic" w:cstheme="minorBidi"/>
          <w:lang w:eastAsia="en-US"/>
        </w:rPr>
      </w:pPr>
      <w:r>
        <w:rPr>
          <w:rFonts w:ascii="Century Gothic" w:eastAsiaTheme="minorHAnsi" w:hAnsi="Century Gothic" w:cstheme="minorBidi"/>
          <w:lang w:eastAsia="en-US"/>
        </w:rPr>
        <w:t>W tym przypadku ww. przesłanki zostały spełnione, ponieważ o umorzenie postępowania w sprawie wydania decyzji o środowiskowych uwarunkowaniach wystąpił Inwestor, na którego żądanie postępowanie zostało wszczęte i umorzenie decyzji nie jest sprzeczne z interesem społecznym. W związku z powyższym Wójt Gminy Gniezno uznał, że postępowanie stało się bezprzedmiotowe i na podstawie art. 86d ust. 1 pkt 2 i ust. 3 ustawy z dnia 3 października 2008 r. o udostępnianiu informacji o środowisku i jego ochronie, udziale społeczeństwa w ochronie środowiska oraz o ocenach oddziaływania na środowisko /Dz. U. z 2024 r. poz. 1112 ze zm./ orzekł o umorzeniu przedmiotowego postępowania w całości.</w:t>
      </w:r>
    </w:p>
    <w:p w14:paraId="5756104F" w14:textId="77777777" w:rsidR="00F71610" w:rsidRDefault="00F71610" w:rsidP="00F71610">
      <w:pPr>
        <w:spacing w:after="160" w:line="276" w:lineRule="auto"/>
        <w:jc w:val="both"/>
        <w:rPr>
          <w:rFonts w:ascii="Century Gothic" w:eastAsiaTheme="minorHAnsi" w:hAnsi="Century Gothic" w:cstheme="minorBidi"/>
          <w:lang w:eastAsia="en-US"/>
        </w:rPr>
      </w:pPr>
      <w:r>
        <w:rPr>
          <w:rFonts w:ascii="Century Gothic" w:eastAsiaTheme="minorHAnsi" w:hAnsi="Century Gothic" w:cstheme="minorBidi"/>
          <w:lang w:eastAsia="en-US"/>
        </w:rPr>
        <w:t>W związku z powyższym orzeczono jak w sentencji.</w:t>
      </w:r>
    </w:p>
    <w:p w14:paraId="1BBC972B" w14:textId="77777777" w:rsidR="00F71610" w:rsidRDefault="00F71610" w:rsidP="00F71610">
      <w:pPr>
        <w:spacing w:line="360" w:lineRule="auto"/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Pouczenie</w:t>
      </w:r>
    </w:p>
    <w:p w14:paraId="2D0018C0" w14:textId="77777777" w:rsidR="00F71610" w:rsidRDefault="00F71610" w:rsidP="00F71610">
      <w:pPr>
        <w:pStyle w:val="msonormalcxspdrugie"/>
        <w:numPr>
          <w:ilvl w:val="3"/>
          <w:numId w:val="2"/>
        </w:numPr>
        <w:suppressAutoHyphens/>
        <w:spacing w:before="0" w:beforeAutospacing="0" w:after="0" w:afterAutospacing="0"/>
        <w:ind w:left="425" w:hanging="357"/>
        <w:contextualSpacing/>
        <w:jc w:val="both"/>
        <w:rPr>
          <w:rFonts w:ascii="Century Gothic" w:hAnsi="Century Gothic" w:cstheme="minorHAnsi"/>
          <w:sz w:val="20"/>
          <w:szCs w:val="20"/>
          <w:lang w:eastAsia="ar-SA"/>
        </w:rPr>
      </w:pPr>
      <w:r>
        <w:rPr>
          <w:rFonts w:ascii="Century Gothic" w:hAnsi="Century Gothic" w:cstheme="minorHAnsi"/>
          <w:color w:val="000000"/>
          <w:sz w:val="20"/>
          <w:szCs w:val="20"/>
        </w:rPr>
        <w:t>Od niniejszej decyzji służy odwołanie do Samorządowego Kolegium Odwoławczego w   Poznaniu za pośrednictwem Wójta Gminy Gniezno w terminie 14 dni od dnia doręczenia niniejszej decyzji.</w:t>
      </w:r>
      <w:r>
        <w:rPr>
          <w:rFonts w:ascii="Century Gothic" w:hAnsi="Century Gothic" w:cstheme="minorHAnsi"/>
          <w:sz w:val="20"/>
          <w:szCs w:val="20"/>
          <w:lang w:eastAsia="ar-SA"/>
        </w:rPr>
        <w:t xml:space="preserve"> </w:t>
      </w:r>
    </w:p>
    <w:p w14:paraId="77C24634" w14:textId="77777777" w:rsidR="00F71610" w:rsidRDefault="00F71610" w:rsidP="00F71610">
      <w:pPr>
        <w:pStyle w:val="msonormalcxspdrugie"/>
        <w:numPr>
          <w:ilvl w:val="3"/>
          <w:numId w:val="2"/>
        </w:numPr>
        <w:suppressAutoHyphens/>
        <w:spacing w:before="0" w:beforeAutospacing="0" w:after="0" w:afterAutospacing="0"/>
        <w:ind w:left="425" w:hanging="357"/>
        <w:contextualSpacing/>
        <w:jc w:val="both"/>
        <w:rPr>
          <w:rFonts w:ascii="Century Gothic" w:hAnsi="Century Gothic"/>
          <w:sz w:val="20"/>
          <w:szCs w:val="20"/>
          <w:lang w:eastAsia="ar-SA"/>
        </w:rPr>
      </w:pPr>
      <w:r>
        <w:rPr>
          <w:rFonts w:ascii="Century Gothic" w:hAnsi="Century Gothic" w:cstheme="minorHAnsi"/>
          <w:sz w:val="20"/>
          <w:szCs w:val="20"/>
        </w:rPr>
        <w:t>Przed upływem terminu do wniesienia</w:t>
      </w:r>
      <w:r>
        <w:rPr>
          <w:rFonts w:ascii="Century Gothic" w:hAnsi="Century Gothic" w:cstheme="minorHAnsi"/>
          <w:sz w:val="20"/>
          <w:szCs w:val="20"/>
          <w:lang w:eastAsia="ar-SA"/>
        </w:rPr>
        <w:t xml:space="preserve"> odwołania strona może zrzec się prawa do wniesienia odwołania </w:t>
      </w:r>
      <w:r>
        <w:rPr>
          <w:rFonts w:ascii="Century Gothic" w:hAnsi="Century Gothic" w:cstheme="minorHAnsi"/>
          <w:sz w:val="20"/>
          <w:szCs w:val="20"/>
        </w:rPr>
        <w:t xml:space="preserve">wobec organu administracji publicznej, który wydał decyzję </w:t>
      </w:r>
      <w:r>
        <w:rPr>
          <w:rFonts w:ascii="Century Gothic" w:hAnsi="Century Gothic" w:cstheme="minorHAnsi"/>
          <w:sz w:val="20"/>
          <w:szCs w:val="20"/>
          <w:lang w:eastAsia="ar-SA"/>
        </w:rPr>
        <w:t xml:space="preserve">- art. 127 a </w:t>
      </w:r>
      <w:r>
        <w:rPr>
          <w:rFonts w:ascii="Century Gothic" w:hAnsi="Century Gothic" w:cstheme="minorHAnsi"/>
          <w:color w:val="000000"/>
          <w:sz w:val="20"/>
          <w:szCs w:val="20"/>
        </w:rPr>
        <w:t>§ 1 k.p.a</w:t>
      </w:r>
      <w:r>
        <w:rPr>
          <w:rFonts w:ascii="Century Gothic" w:hAnsi="Century Gothic"/>
          <w:color w:val="000000"/>
          <w:sz w:val="20"/>
          <w:szCs w:val="20"/>
        </w:rPr>
        <w:t>.</w:t>
      </w:r>
    </w:p>
    <w:p w14:paraId="730C2B87" w14:textId="77777777" w:rsidR="00F71610" w:rsidRDefault="00F71610" w:rsidP="00F71610">
      <w:pPr>
        <w:pStyle w:val="msonormalcxspdrugie"/>
        <w:numPr>
          <w:ilvl w:val="3"/>
          <w:numId w:val="2"/>
        </w:numPr>
        <w:suppressAutoHyphens/>
        <w:spacing w:before="0" w:beforeAutospacing="0" w:after="0" w:afterAutospacing="0"/>
        <w:ind w:left="425" w:hanging="357"/>
        <w:contextualSpacing/>
        <w:jc w:val="both"/>
        <w:rPr>
          <w:rFonts w:ascii="Century Gothic" w:hAnsi="Century Gothic"/>
          <w:sz w:val="20"/>
          <w:szCs w:val="20"/>
          <w:lang w:eastAsia="ar-SA"/>
        </w:rPr>
      </w:pPr>
      <w:r>
        <w:rPr>
          <w:rFonts w:ascii="Century Gothic" w:hAnsi="Century Gothic"/>
          <w:sz w:val="20"/>
          <w:szCs w:val="20"/>
        </w:rPr>
        <w:t>Z dniem doręczenia organowi administracji publicznej oświadczenia o zrzeczeniu się prawa do wniesienia odwołania przez ostatnią ze stron postępowania, decyzja staje się ostateczna i prawomocna.</w:t>
      </w:r>
    </w:p>
    <w:p w14:paraId="34EED6F3" w14:textId="77777777" w:rsidR="00F71610" w:rsidRDefault="00F71610" w:rsidP="00F71610">
      <w:pPr>
        <w:pStyle w:val="msonormalcxspdrugie"/>
        <w:numPr>
          <w:ilvl w:val="3"/>
          <w:numId w:val="2"/>
        </w:numPr>
        <w:suppressAutoHyphens/>
        <w:spacing w:before="0" w:beforeAutospacing="0" w:after="0" w:afterAutospacing="0"/>
        <w:ind w:left="425" w:hanging="357"/>
        <w:contextualSpacing/>
        <w:jc w:val="both"/>
        <w:rPr>
          <w:rFonts w:ascii="Century Gothic" w:hAnsi="Century Gothic"/>
          <w:sz w:val="20"/>
          <w:szCs w:val="20"/>
          <w:lang w:eastAsia="ar-SA"/>
        </w:rPr>
      </w:pPr>
      <w:r>
        <w:rPr>
          <w:rFonts w:ascii="Century Gothic" w:hAnsi="Century Gothic"/>
          <w:sz w:val="20"/>
          <w:szCs w:val="20"/>
        </w:rPr>
        <w:t xml:space="preserve">W przypadku wymienionym w pkt. 2 i 3 odwołanie służyć nie będzie i decyzja stanie się ostateczna i prawomocna z dniem doręczenia organowi oświadczenia o zrzeczeniu się prawa do odwołania -  </w:t>
      </w:r>
      <w:r>
        <w:rPr>
          <w:rFonts w:ascii="Century Gothic" w:hAnsi="Century Gothic"/>
          <w:sz w:val="20"/>
          <w:szCs w:val="20"/>
          <w:lang w:eastAsia="ar-SA"/>
        </w:rPr>
        <w:t xml:space="preserve">art. 107 </w:t>
      </w:r>
      <w:r>
        <w:rPr>
          <w:rFonts w:ascii="Century Gothic" w:hAnsi="Century Gothic"/>
          <w:color w:val="000000"/>
          <w:sz w:val="20"/>
          <w:szCs w:val="20"/>
        </w:rPr>
        <w:t>§ 1 pkt. 7 k.p.a.</w:t>
      </w:r>
    </w:p>
    <w:p w14:paraId="49B8FA53" w14:textId="77777777" w:rsidR="00F71610" w:rsidRDefault="00F71610" w:rsidP="00F71610">
      <w:pPr>
        <w:pStyle w:val="msonormalcxspdrugie"/>
        <w:numPr>
          <w:ilvl w:val="3"/>
          <w:numId w:val="2"/>
        </w:numPr>
        <w:suppressAutoHyphens/>
        <w:spacing w:before="0" w:beforeAutospacing="0" w:after="0" w:afterAutospacing="0"/>
        <w:ind w:left="425" w:hanging="357"/>
        <w:contextualSpacing/>
        <w:jc w:val="both"/>
        <w:rPr>
          <w:rFonts w:ascii="Century Gothic" w:hAnsi="Century Gothic"/>
          <w:sz w:val="20"/>
          <w:szCs w:val="20"/>
          <w:lang w:eastAsia="ar-SA"/>
        </w:rPr>
      </w:pPr>
      <w:r>
        <w:rPr>
          <w:rFonts w:ascii="Century Gothic" w:hAnsi="Century Gothic"/>
          <w:sz w:val="20"/>
          <w:szCs w:val="20"/>
        </w:rPr>
        <w:t xml:space="preserve">Decyzja podlega wykonaniu przed upływem terminu do wniesienia odwołania, jeżeli jest zgodna z żądaniem wszystkich stron lub jeżeli wszystkie strony zrzekły się prawa do wniesienia odwołania. -  </w:t>
      </w:r>
      <w:r>
        <w:rPr>
          <w:rFonts w:ascii="Century Gothic" w:hAnsi="Century Gothic"/>
          <w:sz w:val="20"/>
          <w:szCs w:val="20"/>
          <w:lang w:eastAsia="ar-SA"/>
        </w:rPr>
        <w:t xml:space="preserve">art. 130 </w:t>
      </w:r>
      <w:r>
        <w:rPr>
          <w:rFonts w:ascii="Century Gothic" w:hAnsi="Century Gothic"/>
          <w:color w:val="000000"/>
          <w:sz w:val="20"/>
          <w:szCs w:val="20"/>
        </w:rPr>
        <w:t>§ 4 k.p.a.</w:t>
      </w:r>
    </w:p>
    <w:p w14:paraId="58681805" w14:textId="77777777" w:rsidR="00F71610" w:rsidRDefault="00F71610" w:rsidP="00F71610">
      <w:pPr>
        <w:rPr>
          <w:rFonts w:ascii="Century Gothic" w:hAnsi="Century Gothic"/>
          <w:b/>
          <w:bCs/>
          <w:sz w:val="16"/>
          <w:szCs w:val="16"/>
          <w:u w:val="single"/>
          <w:lang w:eastAsia="en-US"/>
        </w:rPr>
      </w:pPr>
    </w:p>
    <w:p w14:paraId="2C6E57CD" w14:textId="77777777" w:rsidR="00F71610" w:rsidRDefault="00F71610" w:rsidP="00F71610">
      <w:pPr>
        <w:rPr>
          <w:rFonts w:ascii="Century Gothic" w:hAnsi="Century Gothic"/>
          <w:b/>
          <w:bCs/>
          <w:sz w:val="16"/>
          <w:szCs w:val="16"/>
          <w:u w:val="single"/>
          <w:lang w:eastAsia="en-US"/>
        </w:rPr>
      </w:pPr>
      <w:r>
        <w:rPr>
          <w:rFonts w:ascii="Century Gothic" w:hAnsi="Century Gothic"/>
          <w:b/>
          <w:bCs/>
          <w:sz w:val="16"/>
          <w:szCs w:val="16"/>
          <w:u w:val="single"/>
          <w:lang w:eastAsia="en-US"/>
        </w:rPr>
        <w:t>Otrzymują:</w:t>
      </w:r>
    </w:p>
    <w:p w14:paraId="202B211A" w14:textId="77777777" w:rsidR="00F71610" w:rsidRDefault="00F71610" w:rsidP="00F71610">
      <w:pPr>
        <w:numPr>
          <w:ilvl w:val="0"/>
          <w:numId w:val="3"/>
        </w:numPr>
        <w:shd w:val="clear" w:color="auto" w:fill="FFFFFF"/>
        <w:jc w:val="both"/>
        <w:rPr>
          <w:rFonts w:ascii="Century Gothic" w:hAnsi="Century Gothic"/>
          <w:sz w:val="16"/>
          <w:szCs w:val="16"/>
          <w:lang w:eastAsia="en-US"/>
        </w:rPr>
      </w:pPr>
      <w:r>
        <w:rPr>
          <w:rFonts w:ascii="Century Gothic" w:hAnsi="Century Gothic"/>
          <w:sz w:val="16"/>
          <w:szCs w:val="16"/>
          <w:lang w:eastAsia="en-US"/>
        </w:rPr>
        <w:t xml:space="preserve">Strony postępowania administracyjnego wg rozdzielnika </w:t>
      </w:r>
    </w:p>
    <w:p w14:paraId="31A19CD1" w14:textId="77777777" w:rsidR="00F71610" w:rsidRDefault="00F71610" w:rsidP="00F71610">
      <w:pPr>
        <w:numPr>
          <w:ilvl w:val="0"/>
          <w:numId w:val="3"/>
        </w:numPr>
        <w:shd w:val="clear" w:color="auto" w:fill="FFFFFF"/>
        <w:jc w:val="both"/>
        <w:rPr>
          <w:rFonts w:ascii="Century Gothic" w:hAnsi="Century Gothic"/>
          <w:sz w:val="16"/>
          <w:szCs w:val="16"/>
          <w:lang w:eastAsia="en-US"/>
        </w:rPr>
      </w:pPr>
      <w:r>
        <w:rPr>
          <w:rFonts w:ascii="Century Gothic" w:hAnsi="Century Gothic"/>
          <w:sz w:val="16"/>
          <w:szCs w:val="16"/>
          <w:lang w:eastAsia="en-US"/>
        </w:rPr>
        <w:t>a/a (sprawę prowadzi Rafał Skweres – tel. 61 424 57 66)</w:t>
      </w:r>
    </w:p>
    <w:p w14:paraId="2009C483" w14:textId="77777777" w:rsidR="00F71610" w:rsidRDefault="00F71610" w:rsidP="00F71610">
      <w:pPr>
        <w:rPr>
          <w:rFonts w:ascii="Century Gothic" w:hAnsi="Century Gothic"/>
          <w:b/>
          <w:bCs/>
          <w:sz w:val="16"/>
          <w:szCs w:val="16"/>
          <w:u w:val="single"/>
          <w:lang w:eastAsia="en-US"/>
        </w:rPr>
      </w:pPr>
      <w:r>
        <w:rPr>
          <w:rFonts w:ascii="Century Gothic" w:hAnsi="Century Gothic"/>
          <w:b/>
          <w:bCs/>
          <w:sz w:val="16"/>
          <w:szCs w:val="16"/>
          <w:u w:val="single"/>
          <w:lang w:eastAsia="en-US"/>
        </w:rPr>
        <w:t>Do wiadomości:</w:t>
      </w:r>
    </w:p>
    <w:p w14:paraId="31C48D1D" w14:textId="77777777" w:rsidR="00F71610" w:rsidRDefault="00F71610" w:rsidP="00F71610">
      <w:pPr>
        <w:numPr>
          <w:ilvl w:val="0"/>
          <w:numId w:val="4"/>
        </w:num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Regionalny Dyrektor Ochrony Środowiska w Poznaniu, ul. Kościuszki 57, 61-891 Poznań</w:t>
      </w:r>
    </w:p>
    <w:p w14:paraId="5C665BDD" w14:textId="77777777" w:rsidR="00F71610" w:rsidRDefault="00F71610" w:rsidP="00F71610">
      <w:pPr>
        <w:numPr>
          <w:ilvl w:val="0"/>
          <w:numId w:val="4"/>
        </w:num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Państwowy Powiatowy Inspektor Sanitarny w Gnieźnie, ul. Św. Wawrzyńca 18, 62-200 Gniezno</w:t>
      </w:r>
    </w:p>
    <w:p w14:paraId="2717AA13" w14:textId="49757EEA" w:rsidR="00EE1F09" w:rsidRPr="00F71610" w:rsidRDefault="00F71610" w:rsidP="00F71610">
      <w:pPr>
        <w:numPr>
          <w:ilvl w:val="0"/>
          <w:numId w:val="4"/>
        </w:numPr>
        <w:jc w:val="both"/>
        <w:rPr>
          <w:rFonts w:ascii="Century Gothic" w:hAnsi="Century Gothic"/>
          <w:sz w:val="16"/>
          <w:szCs w:val="16"/>
          <w:lang w:eastAsia="en-US"/>
        </w:rPr>
      </w:pPr>
      <w:r>
        <w:rPr>
          <w:rFonts w:ascii="Century Gothic" w:hAnsi="Century Gothic"/>
          <w:sz w:val="16"/>
          <w:szCs w:val="16"/>
        </w:rPr>
        <w:t>Dyrektor Zarządu Zlewni Wód Polskich w Poznaniu, ul. Szewska 1, 61-760 Poznań</w:t>
      </w:r>
    </w:p>
    <w:sectPr w:rsidR="00EE1F09" w:rsidRPr="00F716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5406D"/>
    <w:multiLevelType w:val="hybridMultilevel"/>
    <w:tmpl w:val="C70CAA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51403"/>
    <w:multiLevelType w:val="hybridMultilevel"/>
    <w:tmpl w:val="3300F91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48320956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5764BB"/>
    <w:multiLevelType w:val="hybridMultilevel"/>
    <w:tmpl w:val="35740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97EAD"/>
    <w:multiLevelType w:val="hybridMultilevel"/>
    <w:tmpl w:val="25768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50117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125244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83727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18111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610"/>
    <w:rsid w:val="00CD2637"/>
    <w:rsid w:val="00CE7316"/>
    <w:rsid w:val="00EE1F09"/>
    <w:rsid w:val="00F7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2A308"/>
  <w15:chartTrackingRefBased/>
  <w15:docId w15:val="{E8CBDA77-0AC0-446A-9D15-EC89E9BB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161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16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16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16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16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16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F716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16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16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16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16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16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16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161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161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semiHidden/>
    <w:rsid w:val="00F716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16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16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16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16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16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16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16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16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16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16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161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16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161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1610"/>
    <w:rPr>
      <w:b/>
      <w:bCs/>
      <w:smallCaps/>
      <w:color w:val="2F5496" w:themeColor="accent1" w:themeShade="BF"/>
      <w:spacing w:val="5"/>
    </w:rPr>
  </w:style>
  <w:style w:type="paragraph" w:customStyle="1" w:styleId="msonormalcxspdrugie">
    <w:name w:val="msonormalcxspdrugie"/>
    <w:basedOn w:val="Normalny"/>
    <w:rsid w:val="00F7161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1498</Words>
  <Characters>8989</Characters>
  <Application>Microsoft Office Word</Application>
  <DocSecurity>0</DocSecurity>
  <Lines>74</Lines>
  <Paragraphs>20</Paragraphs>
  <ScaleCrop>false</ScaleCrop>
  <Company/>
  <LinksUpToDate>false</LinksUpToDate>
  <CharactersWithSpaces>10467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1</cp:revision>
  <dcterms:created xsi:type="dcterms:W3CDTF">2026-04-24T07:01:00Z</dcterms:created>
  <dcterms:modified xsi:type="dcterms:W3CDTF">2026-04-24T07:05:00Z</dcterms:modified>
</cp:coreProperties>
</file>